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highlight w:val="none"/>
        </w:rPr>
      </w:pPr>
      <w:r>
        <w:rPr>
          <w:rFonts w:ascii="宋体" w:hAnsi="宋体" w:eastAsia="宋体" w:cs="宋体"/>
        </w:rPr>
        <w:t>东方阿尔法科技智选混合型发起式证券投资基</w:t>
      </w:r>
      <w:bookmarkStart w:id="0" w:name="_GoBack"/>
      <w:r>
        <w:rPr>
          <w:rFonts w:ascii="宋体" w:hAnsi="宋体" w:eastAsia="宋体" w:cs="宋体"/>
          <w:highlight w:val="none"/>
        </w:rPr>
        <w:t>金（A类份额）基金产品资料概要更新</w:t>
      </w:r>
    </w:p>
    <w:p>
      <w:pPr>
        <w:jc w:val="right"/>
        <w:rPr>
          <w:highlight w:val="none"/>
        </w:rPr>
      </w:pPr>
      <w:r>
        <w:rPr>
          <w:rFonts w:ascii="宋体" w:hAnsi="宋体" w:eastAsia="宋体" w:cs="宋体"/>
          <w:b w:val="0"/>
          <w:highlight w:val="none"/>
        </w:rPr>
        <w:t>编制日期：2025年12月</w:t>
      </w:r>
      <w:r>
        <w:rPr>
          <w:rFonts w:hint="eastAsia" w:ascii="宋体" w:hAnsi="宋体" w:cs="宋体"/>
          <w:b w:val="0"/>
          <w:highlight w:val="none"/>
          <w:lang w:val="en-US" w:eastAsia="zh-CN"/>
        </w:rPr>
        <w:t>4</w:t>
      </w:r>
      <w:r>
        <w:rPr>
          <w:rFonts w:ascii="宋体" w:hAnsi="宋体" w:eastAsia="宋体" w:cs="宋体"/>
          <w:b w:val="0"/>
          <w:highlight w:val="none"/>
        </w:rPr>
        <w:t>日</w:t>
      </w:r>
    </w:p>
    <w:p>
      <w:pPr>
        <w:jc w:val="center"/>
        <w:rPr>
          <w:highlight w:val="none"/>
        </w:rPr>
      </w:pPr>
      <w:r>
        <w:rPr>
          <w:rFonts w:ascii="宋体" w:hAnsi="宋体" w:eastAsia="宋体" w:cs="宋体"/>
          <w:b w:val="0"/>
          <w:highlight w:val="none"/>
        </w:rPr>
        <w:t>送出日期：2025年12月</w:t>
      </w:r>
      <w:r>
        <w:rPr>
          <w:rFonts w:hint="eastAsia" w:ascii="宋体" w:hAnsi="宋体" w:cs="宋体"/>
          <w:b w:val="0"/>
          <w:highlight w:val="none"/>
          <w:lang w:val="en-US" w:eastAsia="zh-CN"/>
        </w:rPr>
        <w:t>5</w:t>
      </w:r>
      <w:r>
        <w:rPr>
          <w:rFonts w:ascii="宋体" w:hAnsi="宋体" w:eastAsia="宋体" w:cs="宋体"/>
          <w:b w:val="0"/>
          <w:highlight w:val="none"/>
        </w:rPr>
        <w:t>日</w:t>
      </w:r>
    </w:p>
    <w:bookmarkEnd w:id="0"/>
    <w:p>
      <w:pPr>
        <w:jc w:val="center"/>
      </w:pPr>
      <w:r>
        <w:rPr>
          <w:rFonts w:ascii="宋体" w:hAnsi="宋体" w:eastAsia="宋体" w:cs="宋体"/>
          <w:b/>
        </w:rPr>
        <w:t>本概要提供本基金的重要信息，是招募说明书的一部分。</w:t>
      </w:r>
    </w:p>
    <w:p>
      <w:pPr>
        <w:jc w:val="center"/>
      </w:pPr>
      <w:r>
        <w:rPr>
          <w:rFonts w:ascii="宋体" w:hAnsi="宋体" w:eastAsia="宋体" w:cs="宋体"/>
          <w:b/>
        </w:rPr>
        <w:t>作出投资决定前，请阅读完整的招募说明书等销售文件。</w:t>
      </w:r>
    </w:p>
    <w:p>
      <w:pPr>
        <w:pStyle w:val="3"/>
        <w:jc w:val="left"/>
      </w:pPr>
      <w:r>
        <w:rPr>
          <w:rFonts w:ascii="宋体" w:hAnsi="宋体" w:eastAsia="宋体" w:cs="宋体"/>
        </w:rPr>
        <w:t>一、产品概况</w:t>
      </w:r>
    </w:p>
    <w:tbl>
      <w:tblPr>
        <w:tblStyle w:val="27"/>
        <w:tblW w:w="5001"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fixed"/>
        <w:tblCellMar>
          <w:top w:w="0" w:type="dxa"/>
          <w:left w:w="108" w:type="dxa"/>
          <w:bottom w:w="0" w:type="dxa"/>
          <w:right w:w="108" w:type="dxa"/>
        </w:tblCellMar>
      </w:tblPr>
      <w:tblGrid>
        <w:gridCol w:w="2322"/>
        <w:gridCol w:w="2322"/>
        <w:gridCol w:w="2322"/>
        <w:gridCol w:w="2322"/>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ascii="宋体" w:hAnsi="宋体" w:eastAsia="宋体" w:cs="宋体"/>
                <w:b/>
              </w:rPr>
              <w:t>基金简称</w:t>
            </w:r>
          </w:p>
        </w:tc>
        <w:tc>
          <w:tcPr>
            <w:tcW w:w="1250" w:type="pct"/>
            <w:vAlign w:val="center"/>
          </w:tcPr>
          <w:p>
            <w:pPr>
              <w:spacing w:line="240" w:lineRule="auto"/>
              <w:jc w:val="left"/>
            </w:pPr>
            <w:r>
              <w:rPr>
                <w:rFonts w:ascii="宋体" w:hAnsi="宋体" w:eastAsia="宋体" w:cs="宋体"/>
                <w:b w:val="0"/>
              </w:rPr>
              <w:t>东方阿尔法科技智选混合发起</w:t>
            </w:r>
          </w:p>
        </w:tc>
        <w:tc>
          <w:tcPr>
            <w:tcW w:w="1250" w:type="pct"/>
            <w:vAlign w:val="center"/>
          </w:tcPr>
          <w:p>
            <w:pPr>
              <w:spacing w:line="240" w:lineRule="auto"/>
              <w:jc w:val="left"/>
            </w:pPr>
            <w:r>
              <w:rPr>
                <w:rFonts w:ascii="宋体" w:hAnsi="宋体" w:eastAsia="宋体" w:cs="宋体"/>
                <w:b/>
              </w:rPr>
              <w:t>基金代码</w:t>
            </w:r>
          </w:p>
        </w:tc>
        <w:tc>
          <w:tcPr>
            <w:tcW w:w="1250" w:type="pct"/>
            <w:vAlign w:val="center"/>
          </w:tcPr>
          <w:p>
            <w:pPr>
              <w:spacing w:line="240" w:lineRule="auto"/>
              <w:jc w:val="left"/>
            </w:pPr>
            <w:r>
              <w:rPr>
                <w:rFonts w:ascii="宋体" w:hAnsi="宋体" w:eastAsia="宋体" w:cs="宋体"/>
                <w:b w:val="0"/>
              </w:rPr>
              <w:t>025499</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hint="eastAsia"/>
                <w:b/>
                <w:bCs/>
              </w:rPr>
              <w:t>下属基金简称</w:t>
            </w:r>
          </w:p>
        </w:tc>
        <w:tc>
          <w:tcPr>
            <w:tcW w:w="1250" w:type="pct"/>
            <w:vAlign w:val="center"/>
          </w:tcPr>
          <w:p>
            <w:pPr>
              <w:spacing w:line="240" w:lineRule="auto"/>
              <w:jc w:val="left"/>
            </w:pPr>
            <w:r>
              <w:rPr>
                <w:rFonts w:ascii="宋体" w:hAnsi="宋体" w:eastAsia="宋体" w:cs="宋体"/>
                <w:b w:val="0"/>
              </w:rPr>
              <w:t>东方阿尔法科技智选混合发起A</w:t>
            </w:r>
          </w:p>
        </w:tc>
        <w:tc>
          <w:tcPr>
            <w:tcW w:w="1250" w:type="pct"/>
            <w:vAlign w:val="center"/>
          </w:tcPr>
          <w:p>
            <w:pPr>
              <w:spacing w:line="240" w:lineRule="auto"/>
              <w:jc w:val="left"/>
            </w:pPr>
            <w:r>
              <w:rPr>
                <w:rFonts w:hint="eastAsia"/>
                <w:b/>
                <w:bCs/>
              </w:rPr>
              <w:t>下属基金的基金代码</w:t>
            </w:r>
          </w:p>
        </w:tc>
        <w:tc>
          <w:tcPr>
            <w:tcW w:w="1250" w:type="pct"/>
            <w:vAlign w:val="center"/>
          </w:tcPr>
          <w:p>
            <w:pPr>
              <w:spacing w:line="240" w:lineRule="auto"/>
              <w:jc w:val="left"/>
            </w:pPr>
            <w:r>
              <w:rPr>
                <w:rFonts w:ascii="宋体" w:hAnsi="宋体" w:eastAsia="宋体" w:cs="宋体"/>
                <w:b w:val="0"/>
              </w:rPr>
              <w:t>025499</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ascii="宋体" w:hAnsi="宋体" w:eastAsia="宋体" w:cs="宋体"/>
                <w:b/>
              </w:rPr>
              <w:t>基金管理人</w:t>
            </w:r>
          </w:p>
        </w:tc>
        <w:tc>
          <w:tcPr>
            <w:tcW w:w="1250" w:type="pct"/>
            <w:vAlign w:val="center"/>
          </w:tcPr>
          <w:p>
            <w:pPr>
              <w:spacing w:line="240" w:lineRule="auto"/>
              <w:jc w:val="left"/>
            </w:pPr>
            <w:r>
              <w:rPr>
                <w:rFonts w:ascii="宋体" w:hAnsi="宋体" w:eastAsia="宋体" w:cs="宋体"/>
                <w:b w:val="0"/>
              </w:rPr>
              <w:t>东方阿尔法基金管理有限公司</w:t>
            </w:r>
          </w:p>
        </w:tc>
        <w:tc>
          <w:tcPr>
            <w:tcW w:w="1250" w:type="pct"/>
            <w:vAlign w:val="center"/>
          </w:tcPr>
          <w:p>
            <w:pPr>
              <w:spacing w:line="240" w:lineRule="auto"/>
              <w:jc w:val="left"/>
            </w:pPr>
            <w:r>
              <w:rPr>
                <w:rFonts w:ascii="宋体" w:hAnsi="宋体" w:eastAsia="宋体" w:cs="宋体"/>
                <w:b/>
              </w:rPr>
              <w:t>基金托管人</w:t>
            </w:r>
          </w:p>
        </w:tc>
        <w:tc>
          <w:tcPr>
            <w:tcW w:w="1250" w:type="pct"/>
            <w:vAlign w:val="center"/>
          </w:tcPr>
          <w:p>
            <w:pPr>
              <w:spacing w:line="240" w:lineRule="auto"/>
              <w:jc w:val="left"/>
            </w:pPr>
            <w:r>
              <w:rPr>
                <w:rFonts w:ascii="宋体" w:hAnsi="宋体" w:eastAsia="宋体" w:cs="宋体"/>
                <w:b w:val="0"/>
              </w:rPr>
              <w:t>招商银行股份有限公司</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ascii="宋体" w:hAnsi="宋体" w:eastAsia="宋体" w:cs="宋体"/>
                <w:b/>
              </w:rPr>
              <w:t>基金合同生效日</w:t>
            </w:r>
          </w:p>
        </w:tc>
        <w:tc>
          <w:tcPr>
            <w:tcW w:w="1250" w:type="pct"/>
            <w:vAlign w:val="center"/>
          </w:tcPr>
          <w:p>
            <w:pPr>
              <w:spacing w:line="240" w:lineRule="auto"/>
              <w:jc w:val="left"/>
            </w:pPr>
            <w:r>
              <w:rPr>
                <w:rFonts w:ascii="宋体" w:hAnsi="宋体" w:eastAsia="宋体" w:cs="宋体"/>
                <w:b w:val="0"/>
              </w:rPr>
              <w:t>2025年09月12日</w:t>
            </w:r>
          </w:p>
        </w:tc>
        <w:tc>
          <w:tcPr>
            <w:tcW w:w="1250" w:type="pct"/>
            <w:vAlign w:val="center"/>
          </w:tcPr>
          <w:p>
            <w:pPr>
              <w:spacing w:line="240" w:lineRule="auto"/>
              <w:jc w:val="left"/>
            </w:pPr>
            <w:r>
              <w:rPr>
                <w:rFonts w:ascii="宋体" w:hAnsi="宋体" w:eastAsia="宋体" w:cs="宋体"/>
                <w:b/>
              </w:rPr>
              <w:t>上市交易所及上市日期</w:t>
            </w:r>
          </w:p>
        </w:tc>
        <w:tc>
          <w:tcPr>
            <w:tcW w:w="1250" w:type="pct"/>
            <w:vAlign w:val="center"/>
          </w:tcPr>
          <w:p>
            <w:pPr>
              <w:spacing w:line="240" w:lineRule="auto"/>
              <w:jc w:val="left"/>
            </w:pPr>
            <w:r>
              <w:rPr>
                <w:rFonts w:ascii="宋体" w:hAnsi="宋体" w:eastAsia="宋体" w:cs="宋体"/>
                <w:b w:val="0"/>
              </w:rPr>
              <w:t>暂未上市</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ascii="宋体" w:hAnsi="宋体" w:eastAsia="宋体" w:cs="宋体"/>
                <w:b/>
              </w:rPr>
              <w:t>基金类型</w:t>
            </w:r>
          </w:p>
        </w:tc>
        <w:tc>
          <w:tcPr>
            <w:tcW w:w="1250" w:type="pct"/>
            <w:vAlign w:val="center"/>
          </w:tcPr>
          <w:p>
            <w:pPr>
              <w:spacing w:line="240" w:lineRule="auto"/>
              <w:jc w:val="left"/>
            </w:pPr>
            <w:r>
              <w:rPr>
                <w:rFonts w:ascii="宋体" w:hAnsi="宋体" w:eastAsia="宋体" w:cs="宋体"/>
                <w:b w:val="0"/>
              </w:rPr>
              <w:t>混合型</w:t>
            </w:r>
          </w:p>
        </w:tc>
        <w:tc>
          <w:tcPr>
            <w:tcW w:w="1250" w:type="pct"/>
            <w:vAlign w:val="center"/>
          </w:tcPr>
          <w:p>
            <w:pPr>
              <w:spacing w:line="240" w:lineRule="auto"/>
              <w:jc w:val="left"/>
            </w:pPr>
            <w:r>
              <w:rPr>
                <w:rFonts w:ascii="宋体" w:hAnsi="宋体" w:eastAsia="宋体" w:cs="宋体"/>
                <w:b/>
              </w:rPr>
              <w:t>交易币种</w:t>
            </w:r>
          </w:p>
        </w:tc>
        <w:tc>
          <w:tcPr>
            <w:tcW w:w="1250" w:type="pct"/>
            <w:vAlign w:val="center"/>
          </w:tcPr>
          <w:p>
            <w:pPr>
              <w:spacing w:line="240" w:lineRule="auto"/>
              <w:jc w:val="left"/>
            </w:pPr>
            <w:r>
              <w:rPr>
                <w:rFonts w:ascii="宋体" w:hAnsi="宋体" w:eastAsia="宋体" w:cs="宋体"/>
                <w:b w:val="0"/>
              </w:rPr>
              <w:t>人民币</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Align w:val="center"/>
          </w:tcPr>
          <w:p>
            <w:pPr>
              <w:spacing w:line="240" w:lineRule="auto"/>
              <w:jc w:val="left"/>
            </w:pPr>
            <w:r>
              <w:rPr>
                <w:rFonts w:ascii="宋体" w:hAnsi="宋体" w:eastAsia="宋体" w:cs="宋体"/>
                <w:b/>
              </w:rPr>
              <w:t>运作方式</w:t>
            </w:r>
          </w:p>
        </w:tc>
        <w:tc>
          <w:tcPr>
            <w:tcW w:w="1250" w:type="pct"/>
            <w:vAlign w:val="center"/>
          </w:tcPr>
          <w:p>
            <w:pPr>
              <w:spacing w:line="240" w:lineRule="auto"/>
              <w:jc w:val="left"/>
            </w:pPr>
            <w:r>
              <w:rPr>
                <w:rFonts w:ascii="宋体" w:hAnsi="宋体" w:eastAsia="宋体" w:cs="宋体"/>
                <w:b w:val="0"/>
              </w:rPr>
              <w:t>普通开放式</w:t>
            </w:r>
          </w:p>
        </w:tc>
        <w:tc>
          <w:tcPr>
            <w:tcW w:w="1250" w:type="pct"/>
            <w:vAlign w:val="center"/>
          </w:tcPr>
          <w:p>
            <w:pPr>
              <w:spacing w:line="240" w:lineRule="auto"/>
              <w:jc w:val="left"/>
            </w:pPr>
            <w:r>
              <w:rPr>
                <w:rFonts w:ascii="宋体" w:hAnsi="宋体" w:eastAsia="宋体" w:cs="宋体"/>
                <w:b/>
              </w:rPr>
              <w:t>开放频率</w:t>
            </w:r>
          </w:p>
        </w:tc>
        <w:tc>
          <w:tcPr>
            <w:tcW w:w="1250" w:type="pct"/>
            <w:vAlign w:val="center"/>
          </w:tcPr>
          <w:p>
            <w:pPr>
              <w:spacing w:line="240" w:lineRule="auto"/>
              <w:jc w:val="left"/>
            </w:pPr>
            <w:r>
              <w:rPr>
                <w:rFonts w:ascii="宋体" w:hAnsi="宋体" w:eastAsia="宋体" w:cs="宋体"/>
                <w:b w:val="0"/>
              </w:rPr>
              <w:t>每个开放日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250" w:type="pct"/>
            <w:vMerge w:val="restart"/>
            <w:vAlign w:val="center"/>
          </w:tcPr>
          <w:p>
            <w:pPr>
              <w:spacing w:line="240" w:lineRule="auto"/>
              <w:jc w:val="left"/>
            </w:pPr>
            <w:r>
              <w:rPr>
                <w:rFonts w:ascii="宋体" w:hAnsi="宋体" w:eastAsia="宋体" w:cs="宋体"/>
                <w:b/>
              </w:rPr>
              <w:t>基金经理</w:t>
            </w:r>
          </w:p>
        </w:tc>
        <w:tc>
          <w:tcPr>
            <w:tcW w:w="1250" w:type="pct"/>
            <w:vMerge w:val="restart"/>
            <w:vAlign w:val="center"/>
          </w:tcPr>
          <w:p>
            <w:pPr>
              <w:spacing w:line="240" w:lineRule="auto"/>
              <w:jc w:val="left"/>
            </w:pPr>
            <w:r>
              <w:rPr>
                <w:rFonts w:ascii="宋体" w:hAnsi="宋体" w:eastAsia="宋体" w:cs="宋体"/>
                <w:b w:val="0"/>
              </w:rPr>
              <w:t>梁少文</w:t>
            </w:r>
          </w:p>
        </w:tc>
        <w:tc>
          <w:tcPr>
            <w:tcW w:w="1250" w:type="pct"/>
            <w:vAlign w:val="center"/>
          </w:tcPr>
          <w:p>
            <w:pPr>
              <w:spacing w:line="240" w:lineRule="auto"/>
              <w:jc w:val="left"/>
            </w:pPr>
            <w:r>
              <w:rPr>
                <w:rFonts w:ascii="宋体" w:hAnsi="宋体" w:eastAsia="宋体" w:cs="宋体"/>
                <w:b/>
              </w:rPr>
              <w:t>开始担任本基金基金经理的日期</w:t>
            </w:r>
          </w:p>
        </w:tc>
        <w:tc>
          <w:tcPr>
            <w:tcW w:w="1250" w:type="pct"/>
            <w:vAlign w:val="center"/>
          </w:tcPr>
          <w:p>
            <w:pPr>
              <w:spacing w:line="240" w:lineRule="auto"/>
              <w:jc w:val="left"/>
            </w:pPr>
            <w:r>
              <w:rPr>
                <w:rFonts w:ascii="宋体" w:hAnsi="宋体" w:eastAsia="宋体" w:cs="宋体"/>
                <w:b w:val="0"/>
              </w:rPr>
              <w:t>2025年12月01日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vMerge w:val="continue"/>
          </w:tcPr>
          <w:p/>
        </w:tc>
        <w:tc>
          <w:tcPr>
            <w:tcW w:w="1250" w:type="pct"/>
            <w:vAlign w:val="center"/>
          </w:tcPr>
          <w:p>
            <w:pPr>
              <w:spacing w:line="240" w:lineRule="auto"/>
              <w:jc w:val="left"/>
            </w:pPr>
            <w:r>
              <w:rPr>
                <w:rFonts w:ascii="宋体" w:hAnsi="宋体" w:eastAsia="宋体" w:cs="宋体"/>
                <w:b/>
              </w:rPr>
              <w:t>证券从业日期</w:t>
            </w:r>
          </w:p>
        </w:tc>
        <w:tc>
          <w:tcPr>
            <w:tcW w:w="1250" w:type="pct"/>
            <w:vAlign w:val="center"/>
          </w:tcPr>
          <w:p>
            <w:pPr>
              <w:spacing w:line="240" w:lineRule="auto"/>
              <w:jc w:val="left"/>
            </w:pPr>
            <w:r>
              <w:rPr>
                <w:rFonts w:ascii="宋体" w:hAnsi="宋体" w:eastAsia="宋体" w:cs="宋体"/>
                <w:b w:val="0"/>
              </w:rPr>
              <w:t>2021年07月19日</w:t>
            </w:r>
          </w:p>
        </w:tc>
      </w:tr>
    </w:tbl>
    <w:p>
      <w:r>
        <w:rPr>
          <w:rFonts w:ascii="宋体" w:hAnsi="宋体" w:eastAsia="宋体" w:cs="宋体"/>
          <w:b w:val="0"/>
        </w:rPr>
        <w:t>注：本基金的基金类型为混合型（偏股混合型）</w:t>
      </w:r>
    </w:p>
    <w:p/>
    <w:p>
      <w:pPr>
        <w:pStyle w:val="3"/>
        <w:jc w:val="left"/>
      </w:pPr>
      <w:r>
        <w:rPr>
          <w:rFonts w:ascii="宋体" w:hAnsi="宋体" w:eastAsia="宋体" w:cs="宋体"/>
        </w:rPr>
        <w:t>二、基金投资与净值表现</w:t>
      </w:r>
    </w:p>
    <w:p>
      <w:r>
        <w:rPr>
          <w:rFonts w:ascii="宋体" w:hAnsi="宋体" w:eastAsia="宋体" w:cs="宋体"/>
          <w:b/>
        </w:rPr>
        <w:t>（一）投资目标与投资策略</w:t>
      </w:r>
    </w:p>
    <w:p>
      <w:r>
        <w:rPr>
          <w:rFonts w:ascii="宋体" w:hAnsi="宋体" w:eastAsia="宋体" w:cs="宋体"/>
          <w:b w:val="0"/>
        </w:rPr>
        <w:t xml:space="preserve">    详见《东方阿尔法科技智选混合型发起式证券投资基金招募说明书》第九部分“基金的投资”。</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2143"/>
        <w:gridCol w:w="7143"/>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投资目标</w:t>
            </w:r>
          </w:p>
        </w:tc>
        <w:tc>
          <w:tcPr>
            <w:tcW w:w="3846" w:type="pct"/>
            <w:vAlign w:val="center"/>
          </w:tcPr>
          <w:p>
            <w:pPr>
              <w:spacing w:line="240" w:lineRule="auto"/>
              <w:jc w:val="left"/>
            </w:pPr>
            <w:r>
              <w:rPr>
                <w:rFonts w:ascii="宋体" w:hAnsi="宋体" w:eastAsia="宋体" w:cs="宋体"/>
                <w:b w:val="0"/>
              </w:rPr>
              <w:t>本基金重点关注科技主题上市公司的投资机会,在有效控制组合风险并保持良好流动性的前提下,精选个股,追求超越业绩比较基准的投资回报。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投资范围</w:t>
            </w:r>
          </w:p>
        </w:tc>
        <w:tc>
          <w:tcPr>
            <w:tcW w:w="3846" w:type="pct"/>
            <w:vAlign w:val="center"/>
          </w:tcPr>
          <w:p>
            <w:pPr>
              <w:spacing w:line="240" w:lineRule="auto"/>
              <w:jc w:val="left"/>
            </w:pPr>
            <w:r>
              <w:rPr>
                <w:rFonts w:ascii="宋体" w:hAnsi="宋体" w:eastAsia="宋体" w:cs="宋体"/>
                <w:b w:val="0"/>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r>
              <w:rPr>
                <w:rFonts w:ascii="宋体" w:hAnsi="宋体" w:eastAsia="宋体" w:cs="宋体"/>
                <w:b w:val="0"/>
              </w:rPr>
              <w:br w:type="textWrapping"/>
            </w:r>
            <w:r>
              <w:rPr>
                <w:rFonts w:ascii="宋体" w:hAnsi="宋体" w:eastAsia="宋体" w:cs="宋体"/>
                <w:b w:val="0"/>
              </w:rPr>
              <w:t>如法律法规或监管机构以后允许基金投资其他品种，基金管理人在履行适当程序后，可以将其纳入投资范围，并可依据届时有效的法律法规适时合理地调整投资范围。</w:t>
            </w:r>
            <w:r>
              <w:rPr>
                <w:rFonts w:ascii="宋体" w:hAnsi="宋体" w:eastAsia="宋体" w:cs="宋体"/>
                <w:b w:val="0"/>
              </w:rPr>
              <w:br w:type="textWrapping"/>
            </w:r>
            <w:r>
              <w:rPr>
                <w:rFonts w:ascii="宋体" w:hAnsi="宋体" w:eastAsia="宋体" w:cs="宋体"/>
                <w:b w:val="0"/>
              </w:rPr>
              <w:t>基金的投资组合比例为：本基金投资组合中股票资产投资比例为基金资产的60%-95%，其中投资于本基金界定的科技主题相关股票的比例不低于非现金基金资产的80%，投资于港股通标的股票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r>
              <w:rPr>
                <w:rFonts w:ascii="宋体" w:hAnsi="宋体" w:eastAsia="宋体" w:cs="宋体"/>
                <w:b w:val="0"/>
              </w:rPr>
              <w:br w:type="textWrapping"/>
            </w:r>
            <w:r>
              <w:rPr>
                <w:rFonts w:ascii="宋体" w:hAnsi="宋体" w:eastAsia="宋体" w:cs="宋体"/>
                <w:b w:val="0"/>
              </w:rPr>
              <w:t>如法律法规或中国证监会变更投资品种的投资比例限制，基金管理人在履行适当程序后，可以调整上述投资品种的投资比例。</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主要投资策略</w:t>
            </w:r>
          </w:p>
        </w:tc>
        <w:tc>
          <w:tcPr>
            <w:tcW w:w="3846" w:type="pct"/>
            <w:vAlign w:val="center"/>
          </w:tcPr>
          <w:p>
            <w:pPr>
              <w:spacing w:line="240" w:lineRule="auto"/>
              <w:jc w:val="left"/>
            </w:pPr>
            <w:r>
              <w:rPr>
                <w:rFonts w:ascii="宋体" w:hAnsi="宋体" w:eastAsia="宋体" w:cs="宋体"/>
                <w:b w:val="0"/>
              </w:rPr>
              <w:t>本基金通过定性与定量相结合的积极投资策略，自下而上地精选价值被低估并且具有良好基本面的符合科技主题的股票构建投资组合。投资策略涵盖股票、债券及衍生品的动态配置，定期监控风险并调整组合。股票投资聚焦国家统计局《战略性新兴产业分类》中的科技领域，包括新一代信息技术、高端装备、新材料、新能源、节能环保、生物医药、数字创意等，优先选择研发强度高、行业地位突出的优质企业。同时，基金通过港股通投资估值合理的科技类港股，利用债券、可转债及衍生工具对冲风险。整体策略以科技为核心驱动力，兼顾资产配置多样性，力求在控制波动的前提下捕捉科技产业创新红利，为投资者创造持续回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业绩比较基准</w:t>
            </w:r>
          </w:p>
        </w:tc>
        <w:tc>
          <w:tcPr>
            <w:tcW w:w="3846" w:type="pct"/>
            <w:vAlign w:val="center"/>
          </w:tcPr>
          <w:p>
            <w:pPr>
              <w:spacing w:line="240" w:lineRule="auto"/>
              <w:jc w:val="left"/>
            </w:pPr>
            <w:r>
              <w:rPr>
                <w:rFonts w:ascii="宋体" w:hAnsi="宋体" w:eastAsia="宋体" w:cs="宋体"/>
                <w:b w:val="0"/>
              </w:rPr>
              <w:t>中国战略新兴产业成份指数收益率*70%+中债-综合指数(全价)收益率*20%+恒生科技指数收益率(按估值汇率折算)*10%</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风险收益特征</w:t>
            </w:r>
          </w:p>
        </w:tc>
        <w:tc>
          <w:tcPr>
            <w:tcW w:w="3846" w:type="pct"/>
            <w:vAlign w:val="center"/>
          </w:tcPr>
          <w:p>
            <w:pPr>
              <w:spacing w:line="240" w:lineRule="auto"/>
              <w:jc w:val="left"/>
            </w:pPr>
            <w:r>
              <w:rPr>
                <w:rFonts w:ascii="宋体" w:hAnsi="宋体" w:eastAsia="宋体" w:cs="宋体"/>
                <w:b w:val="0"/>
              </w:rPr>
              <w:t>本基金为混合型基金，其预期收益和风险高于货币型基金、债券型基金。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tc>
      </w:tr>
    </w:tbl>
    <w:p>
      <w:r>
        <w:rPr>
          <w:rFonts w:ascii="宋体" w:hAnsi="宋体" w:eastAsia="宋体" w:cs="宋体"/>
          <w:b w:val="0"/>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p>
      <w:r>
        <w:rPr>
          <w:rFonts w:ascii="宋体" w:hAnsi="宋体" w:eastAsia="宋体" w:cs="宋体"/>
          <w:b/>
        </w:rPr>
        <w:t>（二）投资组合资产配置图表/区域配置图表</w:t>
      </w:r>
    </w:p>
    <w:p>
      <w:r>
        <w:rPr>
          <w:rFonts w:ascii="宋体" w:hAnsi="宋体" w:eastAsia="宋体" w:cs="宋体"/>
          <w:b w:val="0"/>
        </w:rPr>
        <w:t xml:space="preserve">    暂无。</w:t>
      </w:r>
    </w:p>
    <w:p/>
    <w:p>
      <w:r>
        <w:rPr>
          <w:rFonts w:ascii="宋体" w:hAnsi="宋体" w:eastAsia="宋体" w:cs="宋体"/>
          <w:b/>
        </w:rPr>
        <w:t>（三）自基金合同生效以来/最近十年（孰短）基金每年的净值增长率及与同期业绩比较基准的比较图</w:t>
      </w:r>
    </w:p>
    <w:p>
      <w:r>
        <w:rPr>
          <w:rFonts w:ascii="宋体" w:hAnsi="宋体" w:eastAsia="宋体" w:cs="宋体"/>
          <w:b w:val="0"/>
        </w:rPr>
        <w:t xml:space="preserve">    暂无。</w:t>
      </w:r>
    </w:p>
    <w:p/>
    <w:p>
      <w:pPr>
        <w:pStyle w:val="3"/>
        <w:jc w:val="left"/>
      </w:pPr>
      <w:r>
        <w:rPr>
          <w:rFonts w:ascii="宋体" w:hAnsi="宋体" w:eastAsia="宋体" w:cs="宋体"/>
        </w:rPr>
        <w:t>三、投资本基金涉及的费用</w:t>
      </w:r>
    </w:p>
    <w:p>
      <w:r>
        <w:rPr>
          <w:rFonts w:ascii="宋体" w:hAnsi="宋体" w:eastAsia="宋体" w:cs="宋体"/>
          <w:b/>
        </w:rPr>
        <w:t>（一）基金销售相关费用</w:t>
      </w:r>
    </w:p>
    <w:p>
      <w:r>
        <w:rPr>
          <w:rFonts w:ascii="宋体" w:hAnsi="宋体" w:eastAsia="宋体" w:cs="宋体"/>
          <w:b w:val="0"/>
        </w:rPr>
        <w:t>以下费用在申购/赎回基金过程中收取：</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1428"/>
        <w:gridCol w:w="3571"/>
        <w:gridCol w:w="2143"/>
        <w:gridCol w:w="2144"/>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PrEx>
        <w:tc>
          <w:tcPr>
            <w:tcW w:w="769" w:type="pct"/>
            <w:vAlign w:val="center"/>
          </w:tcPr>
          <w:p>
            <w:pPr>
              <w:spacing w:line="240" w:lineRule="auto"/>
              <w:jc w:val="left"/>
            </w:pPr>
            <w:r>
              <w:rPr>
                <w:rFonts w:ascii="宋体" w:hAnsi="宋体" w:eastAsia="宋体" w:cs="宋体"/>
                <w:b/>
              </w:rPr>
              <w:t>费用类型</w:t>
            </w:r>
          </w:p>
        </w:tc>
        <w:tc>
          <w:tcPr>
            <w:tcW w:w="1923" w:type="pct"/>
            <w:vAlign w:val="center"/>
          </w:tcPr>
          <w:p>
            <w:pPr>
              <w:spacing w:line="240" w:lineRule="auto"/>
              <w:jc w:val="left"/>
            </w:pPr>
            <w:r>
              <w:rPr>
                <w:rFonts w:ascii="宋体" w:hAnsi="宋体" w:eastAsia="宋体" w:cs="宋体"/>
                <w:b/>
              </w:rPr>
              <w:t>份额(S)或金额(M)/持有期限(N)</w:t>
            </w:r>
          </w:p>
        </w:tc>
        <w:tc>
          <w:tcPr>
            <w:tcW w:w="1154" w:type="pct"/>
            <w:vAlign w:val="center"/>
          </w:tcPr>
          <w:p>
            <w:pPr>
              <w:spacing w:line="240" w:lineRule="auto"/>
              <w:jc w:val="left"/>
            </w:pPr>
            <w:r>
              <w:rPr>
                <w:rFonts w:ascii="宋体" w:hAnsi="宋体" w:eastAsia="宋体" w:cs="宋体"/>
                <w:b/>
              </w:rPr>
              <w:t>收费方式/费率</w:t>
            </w:r>
          </w:p>
        </w:tc>
        <w:tc>
          <w:tcPr>
            <w:tcW w:w="1154" w:type="pct"/>
            <w:vAlign w:val="center"/>
          </w:tcPr>
          <w:p>
            <w:pPr>
              <w:spacing w:line="240" w:lineRule="auto"/>
              <w:jc w:val="left"/>
            </w:pPr>
            <w:r>
              <w:rPr>
                <w:rFonts w:ascii="宋体" w:hAnsi="宋体" w:eastAsia="宋体" w:cs="宋体"/>
                <w:b/>
              </w:rPr>
              <w:t>备注</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申购费(前收费)</w:t>
            </w:r>
          </w:p>
        </w:tc>
        <w:tc>
          <w:tcPr>
            <w:tcW w:w="0" w:type="dxa"/>
            <w:vAlign w:val="center"/>
          </w:tcPr>
          <w:p>
            <w:pPr>
              <w:spacing w:line="240" w:lineRule="auto"/>
              <w:jc w:val="left"/>
            </w:pPr>
            <w:r>
              <w:rPr>
                <w:rFonts w:ascii="宋体" w:hAnsi="宋体" w:eastAsia="宋体" w:cs="宋体"/>
                <w:b w:val="0"/>
              </w:rPr>
              <w:t>M&lt;100万元</w:t>
            </w:r>
          </w:p>
        </w:tc>
        <w:tc>
          <w:tcPr>
            <w:tcW w:w="0" w:type="dxa"/>
            <w:vAlign w:val="center"/>
          </w:tcPr>
          <w:p>
            <w:pPr>
              <w:spacing w:line="240" w:lineRule="auto"/>
              <w:jc w:val="left"/>
            </w:pPr>
            <w:r>
              <w:rPr>
                <w:rFonts w:ascii="宋体" w:hAnsi="宋体" w:eastAsia="宋体" w:cs="宋体"/>
                <w:b w:val="0"/>
              </w:rPr>
              <w:t>1.50%</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100万元≤M&lt;500万元</w:t>
            </w:r>
          </w:p>
        </w:tc>
        <w:tc>
          <w:tcPr>
            <w:tcW w:w="0" w:type="dxa"/>
            <w:vAlign w:val="center"/>
          </w:tcPr>
          <w:p>
            <w:pPr>
              <w:spacing w:line="240" w:lineRule="auto"/>
              <w:jc w:val="left"/>
            </w:pPr>
            <w:r>
              <w:rPr>
                <w:rFonts w:ascii="宋体" w:hAnsi="宋体" w:eastAsia="宋体" w:cs="宋体"/>
                <w:b w:val="0"/>
              </w:rPr>
              <w:t>1.00%</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M≥500万元</w:t>
            </w:r>
          </w:p>
        </w:tc>
        <w:tc>
          <w:tcPr>
            <w:tcW w:w="0" w:type="dxa"/>
            <w:vAlign w:val="center"/>
          </w:tcPr>
          <w:p>
            <w:pPr>
              <w:spacing w:line="240" w:lineRule="auto"/>
              <w:jc w:val="left"/>
            </w:pPr>
            <w:r>
              <w:rPr>
                <w:rFonts w:ascii="宋体" w:hAnsi="宋体" w:eastAsia="宋体" w:cs="宋体"/>
                <w:b w:val="0"/>
              </w:rPr>
              <w:t>1000.00元/笔</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M&lt;100万元</w:t>
            </w:r>
          </w:p>
        </w:tc>
        <w:tc>
          <w:tcPr>
            <w:tcW w:w="0" w:type="dxa"/>
            <w:vAlign w:val="center"/>
          </w:tcPr>
          <w:p>
            <w:pPr>
              <w:spacing w:line="240" w:lineRule="auto"/>
              <w:jc w:val="left"/>
            </w:pPr>
            <w:r>
              <w:rPr>
                <w:rFonts w:ascii="宋体" w:hAnsi="宋体" w:eastAsia="宋体" w:cs="宋体"/>
                <w:b w:val="0"/>
              </w:rPr>
              <w:t>0.15%</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100万元≤M&lt;500万元</w:t>
            </w:r>
          </w:p>
        </w:tc>
        <w:tc>
          <w:tcPr>
            <w:tcW w:w="0" w:type="dxa"/>
            <w:vAlign w:val="center"/>
          </w:tcPr>
          <w:p>
            <w:pPr>
              <w:spacing w:line="240" w:lineRule="auto"/>
              <w:jc w:val="left"/>
            </w:pPr>
            <w:r>
              <w:rPr>
                <w:rFonts w:ascii="宋体" w:hAnsi="宋体" w:eastAsia="宋体" w:cs="宋体"/>
                <w:b w:val="0"/>
              </w:rPr>
              <w:t>0.10%</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M≥500万元</w:t>
            </w:r>
          </w:p>
        </w:tc>
        <w:tc>
          <w:tcPr>
            <w:tcW w:w="0" w:type="dxa"/>
            <w:vAlign w:val="center"/>
          </w:tcPr>
          <w:p>
            <w:pPr>
              <w:spacing w:line="240" w:lineRule="auto"/>
              <w:jc w:val="left"/>
            </w:pPr>
            <w:r>
              <w:rPr>
                <w:rFonts w:ascii="宋体" w:hAnsi="宋体" w:eastAsia="宋体" w:cs="宋体"/>
                <w:b w:val="0"/>
              </w:rPr>
              <w:t>1000.00元/笔</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赎回费</w:t>
            </w:r>
          </w:p>
        </w:tc>
        <w:tc>
          <w:tcPr>
            <w:tcW w:w="0" w:type="dxa"/>
            <w:vAlign w:val="center"/>
          </w:tcPr>
          <w:p>
            <w:pPr>
              <w:spacing w:line="240" w:lineRule="auto"/>
              <w:jc w:val="left"/>
            </w:pPr>
            <w:r>
              <w:rPr>
                <w:rFonts w:ascii="宋体" w:hAnsi="宋体" w:eastAsia="宋体" w:cs="宋体"/>
                <w:b w:val="0"/>
              </w:rPr>
              <w:t>N&lt;7天</w:t>
            </w:r>
          </w:p>
        </w:tc>
        <w:tc>
          <w:tcPr>
            <w:tcW w:w="0" w:type="dxa"/>
            <w:vAlign w:val="center"/>
          </w:tcPr>
          <w:p>
            <w:pPr>
              <w:spacing w:line="240" w:lineRule="auto"/>
              <w:jc w:val="left"/>
            </w:pPr>
            <w:r>
              <w:rPr>
                <w:rFonts w:ascii="宋体" w:hAnsi="宋体" w:eastAsia="宋体" w:cs="宋体"/>
                <w:b w:val="0"/>
              </w:rPr>
              <w:t>1.50%</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7天≤N&lt;30天</w:t>
            </w:r>
          </w:p>
        </w:tc>
        <w:tc>
          <w:tcPr>
            <w:tcW w:w="0" w:type="dxa"/>
            <w:vAlign w:val="center"/>
          </w:tcPr>
          <w:p>
            <w:pPr>
              <w:spacing w:line="240" w:lineRule="auto"/>
              <w:jc w:val="left"/>
            </w:pPr>
            <w:r>
              <w:rPr>
                <w:rFonts w:ascii="宋体" w:hAnsi="宋体" w:eastAsia="宋体" w:cs="宋体"/>
                <w:b w:val="0"/>
              </w:rPr>
              <w:t>0.75%</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30天≤N&lt;365天</w:t>
            </w:r>
          </w:p>
        </w:tc>
        <w:tc>
          <w:tcPr>
            <w:tcW w:w="0" w:type="dxa"/>
            <w:vAlign w:val="center"/>
          </w:tcPr>
          <w:p>
            <w:pPr>
              <w:spacing w:line="240" w:lineRule="auto"/>
              <w:jc w:val="left"/>
            </w:pPr>
            <w:r>
              <w:rPr>
                <w:rFonts w:ascii="宋体" w:hAnsi="宋体" w:eastAsia="宋体" w:cs="宋体"/>
                <w:b w:val="0"/>
              </w:rPr>
              <w:t>0.50%</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365天≤N&lt;730天</w:t>
            </w:r>
          </w:p>
        </w:tc>
        <w:tc>
          <w:tcPr>
            <w:tcW w:w="0" w:type="dxa"/>
            <w:vAlign w:val="center"/>
          </w:tcPr>
          <w:p>
            <w:pPr>
              <w:spacing w:line="240" w:lineRule="auto"/>
              <w:jc w:val="left"/>
            </w:pPr>
            <w:r>
              <w:rPr>
                <w:rFonts w:ascii="宋体" w:hAnsi="宋体" w:eastAsia="宋体" w:cs="宋体"/>
                <w:b w:val="0"/>
              </w:rPr>
              <w:t>0.25%</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N≥730天</w:t>
            </w:r>
          </w:p>
        </w:tc>
        <w:tc>
          <w:tcPr>
            <w:tcW w:w="0" w:type="dxa"/>
            <w:vAlign w:val="center"/>
          </w:tcPr>
          <w:p>
            <w:pPr>
              <w:spacing w:line="240" w:lineRule="auto"/>
              <w:jc w:val="left"/>
            </w:pPr>
            <w:r>
              <w:rPr>
                <w:rFonts w:ascii="宋体" w:hAnsi="宋体" w:eastAsia="宋体" w:cs="宋体"/>
                <w:b w:val="0"/>
              </w:rPr>
              <w:t>0.00%</w:t>
            </w:r>
          </w:p>
        </w:tc>
        <w:tc>
          <w:tcPr>
            <w:tcW w:w="0" w:type="dxa"/>
            <w:vAlign w:val="center"/>
          </w:tcPr>
          <w:p>
            <w:pPr>
              <w:spacing w:line="240" w:lineRule="auto"/>
              <w:jc w:val="left"/>
            </w:pPr>
          </w:p>
        </w:tc>
      </w:tr>
    </w:tbl>
    <w:p>
      <w:r>
        <w:rPr>
          <w:rFonts w:ascii="宋体" w:hAnsi="宋体" w:eastAsia="宋体" w:cs="宋体"/>
          <w:b w:val="0"/>
        </w:rPr>
        <w:t>注:投资人重复认购／申购，须按每次认购／申购所对应的费率档次分别计费。</w:t>
      </w:r>
    </w:p>
    <w:p/>
    <w:p>
      <w:r>
        <w:rPr>
          <w:rFonts w:ascii="宋体" w:hAnsi="宋体" w:eastAsia="宋体" w:cs="宋体"/>
          <w:b/>
        </w:rPr>
        <w:t>（二）基金运作相关费用</w:t>
      </w:r>
    </w:p>
    <w:p>
      <w:r>
        <w:rPr>
          <w:rFonts w:ascii="宋体" w:hAnsi="宋体" w:eastAsia="宋体" w:cs="宋体"/>
          <w:b w:val="0"/>
        </w:rPr>
        <w:t>以下费用将从基金资产中扣除：</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2143"/>
        <w:gridCol w:w="4286"/>
        <w:gridCol w:w="2857"/>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费用类别</w:t>
            </w:r>
          </w:p>
        </w:tc>
        <w:tc>
          <w:tcPr>
            <w:tcW w:w="2308" w:type="pct"/>
            <w:vAlign w:val="center"/>
          </w:tcPr>
          <w:p>
            <w:pPr>
              <w:spacing w:line="240" w:lineRule="auto"/>
              <w:jc w:val="left"/>
            </w:pPr>
            <w:r>
              <w:rPr>
                <w:rFonts w:ascii="宋体" w:hAnsi="宋体" w:eastAsia="宋体" w:cs="宋体"/>
                <w:b/>
              </w:rPr>
              <w:t>收费方式/年费率或金额</w:t>
            </w:r>
          </w:p>
        </w:tc>
        <w:tc>
          <w:tcPr>
            <w:tcW w:w="1538" w:type="pct"/>
            <w:vAlign w:val="center"/>
          </w:tcPr>
          <w:p>
            <w:pPr>
              <w:spacing w:line="240" w:lineRule="auto"/>
              <w:jc w:val="left"/>
            </w:pPr>
            <w:r>
              <w:rPr>
                <w:rFonts w:ascii="宋体" w:hAnsi="宋体" w:eastAsia="宋体" w:cs="宋体"/>
                <w:b/>
              </w:rPr>
              <w:t>收取方</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管理费</w:t>
            </w:r>
          </w:p>
        </w:tc>
        <w:tc>
          <w:tcPr>
            <w:tcW w:w="0" w:type="dxa"/>
            <w:vAlign w:val="center"/>
          </w:tcPr>
          <w:p>
            <w:pPr>
              <w:spacing w:line="240" w:lineRule="auto"/>
              <w:jc w:val="left"/>
            </w:pPr>
            <w:r>
              <w:rPr>
                <w:rFonts w:ascii="宋体" w:hAnsi="宋体" w:eastAsia="宋体" w:cs="宋体"/>
                <w:b w:val="0"/>
              </w:rPr>
              <w:t>1.20%</w:t>
            </w:r>
          </w:p>
        </w:tc>
        <w:tc>
          <w:tcPr>
            <w:tcW w:w="0" w:type="dxa"/>
            <w:vAlign w:val="center"/>
          </w:tcPr>
          <w:p>
            <w:pPr>
              <w:spacing w:line="240" w:lineRule="auto"/>
              <w:jc w:val="left"/>
            </w:pPr>
            <w:r>
              <w:rPr>
                <w:rFonts w:ascii="宋体" w:hAnsi="宋体" w:eastAsia="宋体" w:cs="宋体"/>
                <w:b w:val="0"/>
              </w:rPr>
              <w:t>基金管理人和销售机构</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托管费</w:t>
            </w:r>
          </w:p>
        </w:tc>
        <w:tc>
          <w:tcPr>
            <w:tcW w:w="0" w:type="dxa"/>
            <w:vAlign w:val="center"/>
          </w:tcPr>
          <w:p>
            <w:pPr>
              <w:spacing w:line="240" w:lineRule="auto"/>
              <w:jc w:val="left"/>
            </w:pPr>
            <w:r>
              <w:rPr>
                <w:rFonts w:ascii="宋体" w:hAnsi="宋体" w:eastAsia="宋体" w:cs="宋体"/>
                <w:b w:val="0"/>
              </w:rPr>
              <w:t>0.20%</w:t>
            </w:r>
          </w:p>
        </w:tc>
        <w:tc>
          <w:tcPr>
            <w:tcW w:w="0" w:type="dxa"/>
            <w:vAlign w:val="center"/>
          </w:tcPr>
          <w:p>
            <w:pPr>
              <w:spacing w:line="240" w:lineRule="auto"/>
              <w:jc w:val="left"/>
            </w:pPr>
            <w:r>
              <w:rPr>
                <w:rFonts w:ascii="宋体" w:hAnsi="宋体" w:eastAsia="宋体" w:cs="宋体"/>
                <w:b w:val="0"/>
              </w:rPr>
              <w:t>基金托管人</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审计费用</w:t>
            </w:r>
          </w:p>
        </w:tc>
        <w:tc>
          <w:tcPr>
            <w:tcW w:w="0" w:type="dxa"/>
            <w:vAlign w:val="center"/>
          </w:tcPr>
          <w:p>
            <w:pPr>
              <w:spacing w:line="240" w:lineRule="auto"/>
              <w:jc w:val="left"/>
            </w:pPr>
            <w:r>
              <w:rPr>
                <w:rFonts w:ascii="宋体" w:hAnsi="宋体" w:eastAsia="宋体" w:cs="宋体"/>
                <w:b w:val="0"/>
              </w:rPr>
              <w:t>-</w:t>
            </w:r>
          </w:p>
        </w:tc>
        <w:tc>
          <w:tcPr>
            <w:tcW w:w="0" w:type="dxa"/>
            <w:vAlign w:val="center"/>
          </w:tcPr>
          <w:p>
            <w:pPr>
              <w:spacing w:line="240" w:lineRule="auto"/>
              <w:jc w:val="left"/>
            </w:pPr>
            <w:r>
              <w:rPr>
                <w:rFonts w:ascii="宋体" w:hAnsi="宋体" w:eastAsia="宋体" w:cs="宋体"/>
                <w:b w:val="0"/>
              </w:rPr>
              <w:t>会计师事务所</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信息披露费</w:t>
            </w:r>
          </w:p>
        </w:tc>
        <w:tc>
          <w:tcPr>
            <w:tcW w:w="0" w:type="dxa"/>
            <w:vAlign w:val="center"/>
          </w:tcPr>
          <w:p>
            <w:pPr>
              <w:spacing w:line="240" w:lineRule="auto"/>
              <w:jc w:val="left"/>
            </w:pPr>
            <w:r>
              <w:rPr>
                <w:rFonts w:ascii="宋体" w:hAnsi="宋体" w:eastAsia="宋体" w:cs="宋体"/>
                <w:b w:val="0"/>
              </w:rPr>
              <w:t>-</w:t>
            </w:r>
          </w:p>
        </w:tc>
        <w:tc>
          <w:tcPr>
            <w:tcW w:w="0" w:type="dxa"/>
            <w:vAlign w:val="center"/>
          </w:tcPr>
          <w:p>
            <w:pPr>
              <w:spacing w:line="240" w:lineRule="auto"/>
              <w:jc w:val="left"/>
            </w:pPr>
            <w:r>
              <w:rPr>
                <w:rFonts w:ascii="宋体" w:hAnsi="宋体" w:eastAsia="宋体" w:cs="宋体"/>
                <w:b w:val="0"/>
              </w:rPr>
              <w:t>规定披露报刊</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其他费用</w:t>
            </w:r>
          </w:p>
        </w:tc>
        <w:tc>
          <w:tcPr>
            <w:tcW w:w="0" w:type="dxa"/>
            <w:vAlign w:val="center"/>
          </w:tcPr>
          <w:p>
            <w:pPr>
              <w:spacing w:line="240" w:lineRule="auto"/>
              <w:jc w:val="left"/>
            </w:pPr>
            <w:r>
              <w:rPr>
                <w:rFonts w:ascii="宋体" w:hAnsi="宋体" w:eastAsia="宋体" w:cs="宋体"/>
                <w:b w:val="0"/>
              </w:rPr>
              <w:t>《基金合同》生效后与基金相关的会计师费、律师费、审计费、公证费、诉讼费和仲裁费等费用；基金份额持有人大会费用；基金的证券、期货、期权交易费用；基金的银行汇划费用；基金相关的开户费用、账户维护费用；基金投资港股通标的股票的合理费用；按照国家有关规定和《基金合同》约定，可以在基金财产中列支的其他费用。</w:t>
            </w:r>
          </w:p>
        </w:tc>
        <w:tc>
          <w:tcPr>
            <w:tcW w:w="0" w:type="dxa"/>
            <w:vAlign w:val="center"/>
          </w:tcPr>
          <w:p>
            <w:pPr>
              <w:spacing w:line="240" w:lineRule="auto"/>
              <w:jc w:val="left"/>
            </w:pPr>
            <w:r>
              <w:rPr>
                <w:rFonts w:ascii="宋体" w:hAnsi="宋体" w:eastAsia="宋体" w:cs="宋体"/>
                <w:b w:val="0"/>
              </w:rPr>
              <w:t>相关服务机构</w:t>
            </w:r>
          </w:p>
        </w:tc>
      </w:tr>
    </w:tbl>
    <w:p>
      <w:r>
        <w:rPr>
          <w:rFonts w:ascii="宋体" w:hAnsi="宋体" w:eastAsia="宋体" w:cs="宋体"/>
          <w:b w:val="0"/>
        </w:rPr>
        <w:t>注：1、本基金交易证券、基金等产生的费用和税负，按实际发生额从基金资产扣除。</w:t>
      </w:r>
      <w:r>
        <w:rPr>
          <w:rFonts w:ascii="宋体" w:hAnsi="宋体" w:eastAsia="宋体" w:cs="宋体"/>
          <w:b w:val="0"/>
        </w:rPr>
        <w:cr/>
      </w:r>
      <w:r>
        <w:rPr>
          <w:rFonts w:ascii="宋体" w:hAnsi="宋体" w:eastAsia="宋体" w:cs="宋体"/>
          <w:b w:val="0"/>
        </w:rPr>
        <w:t>2、本基金审计费用、信息披露费为年金额，由基金整体承担，非单个份额类别费用，且年金额为预估值，最终实际金额以基金定期报告披露为准。</w:t>
      </w:r>
    </w:p>
    <w:p/>
    <w:p>
      <w:r>
        <w:rPr>
          <w:rFonts w:ascii="宋体" w:hAnsi="宋体" w:eastAsia="宋体" w:cs="宋体"/>
          <w:b/>
        </w:rPr>
        <w:t>（三）基金运作综合费用测算</w:t>
      </w:r>
    </w:p>
    <w:p>
      <w:r>
        <w:rPr>
          <w:rFonts w:ascii="宋体" w:hAnsi="宋体" w:eastAsia="宋体" w:cs="宋体"/>
          <w:b w:val="0"/>
        </w:rPr>
        <w:t xml:space="preserve">    暂无。</w:t>
      </w:r>
    </w:p>
    <w:p/>
    <w:p>
      <w:pPr>
        <w:pStyle w:val="3"/>
        <w:jc w:val="left"/>
      </w:pPr>
      <w:r>
        <w:rPr>
          <w:rFonts w:ascii="宋体" w:hAnsi="宋体" w:eastAsia="宋体" w:cs="宋体"/>
        </w:rPr>
        <w:t>四、风险揭示与重要提示</w:t>
      </w:r>
    </w:p>
    <w:p>
      <w:r>
        <w:rPr>
          <w:rFonts w:ascii="宋体" w:hAnsi="宋体" w:eastAsia="宋体" w:cs="宋体"/>
          <w:b/>
        </w:rPr>
        <w:t>（一）风险揭示</w:t>
      </w:r>
    </w:p>
    <w:p>
      <w:pPr>
        <w:jc w:val="left"/>
      </w:pPr>
      <w:r>
        <w:rPr>
          <w:rFonts w:ascii="宋体" w:hAnsi="宋体" w:eastAsia="宋体" w:cs="宋体"/>
          <w:b w:val="0"/>
        </w:rPr>
        <w:t xml:space="preserve">    本基金不提供任何保证。投资者可能损失本金。投资有风险，投资者购买基金时应认真阅读本基金的《招募说明书》等销售文件。</w:t>
      </w:r>
      <w:r>
        <w:rPr>
          <w:rFonts w:ascii="宋体" w:hAnsi="宋体" w:eastAsia="宋体" w:cs="宋体"/>
          <w:b w:val="0"/>
        </w:rPr>
        <w:cr/>
      </w:r>
      <w:r>
        <w:rPr>
          <w:rFonts w:ascii="宋体" w:hAnsi="宋体" w:eastAsia="宋体" w:cs="宋体"/>
          <w:b w:val="0"/>
        </w:rPr>
        <w:t xml:space="preserve">    1、本基金特有风险</w:t>
      </w:r>
      <w:r>
        <w:rPr>
          <w:rFonts w:ascii="宋体" w:hAnsi="宋体" w:eastAsia="宋体" w:cs="宋体"/>
          <w:b w:val="0"/>
        </w:rPr>
        <w:cr/>
      </w:r>
      <w:r>
        <w:rPr>
          <w:rFonts w:ascii="宋体" w:hAnsi="宋体" w:eastAsia="宋体" w:cs="宋体"/>
          <w:b w:val="0"/>
        </w:rPr>
        <w:t xml:space="preserve">    （1）本基金投资组合中股票资产投资比例为基金资产的60%-95%，其中投资于本基金界定的科技主题相关股票的比例不低于非现金基金资产的80%，投资集中度比较明显，股票市场的价格波动可能会导致基金净值发生剧烈波动的风险。</w:t>
      </w:r>
      <w:r>
        <w:rPr>
          <w:rFonts w:ascii="宋体" w:hAnsi="宋体" w:eastAsia="宋体" w:cs="宋体"/>
          <w:b w:val="0"/>
        </w:rPr>
        <w:cr/>
      </w:r>
      <w:r>
        <w:rPr>
          <w:rFonts w:ascii="宋体" w:hAnsi="宋体" w:eastAsia="宋体" w:cs="宋体"/>
          <w:b w:val="0"/>
        </w:rPr>
        <w:t xml:space="preserve">    （2）本基金为发起式基金。本基金发起资金认购的本基金份额持有期限自基金合同生效日起满3年后，发起资金提供方将根据自身情况决定是否继续持有，届时发起资金提供方有可能赎回认购的本基金份额。另外，基金合同生效之日起三年后的对应日，若基金资产净值低于2亿元，基金合同自动终止。因此，投资人将面临基金合同可能终止的不确定性风险。</w:t>
      </w:r>
      <w:r>
        <w:rPr>
          <w:rFonts w:ascii="宋体" w:hAnsi="宋体" w:eastAsia="宋体" w:cs="宋体"/>
          <w:b w:val="0"/>
        </w:rPr>
        <w:cr/>
      </w:r>
      <w:r>
        <w:rPr>
          <w:rFonts w:ascii="宋体" w:hAnsi="宋体" w:eastAsia="宋体" w:cs="宋体"/>
          <w:b w:val="0"/>
        </w:rPr>
        <w:t xml:space="preserve">    《基金合同》生效满三年后继续存续的，连续50个工作日出现基金份额持有人数量不满200人或者基金资产净值低于5000万元情形的，基金管理人应当根据基金合同约定进入清算程序并终止，而无需召开基金份额持有人大会。故存在着基金无法继续存续的风险。</w:t>
      </w:r>
      <w:r>
        <w:rPr>
          <w:rFonts w:ascii="宋体" w:hAnsi="宋体" w:eastAsia="宋体" w:cs="宋体"/>
          <w:b w:val="0"/>
        </w:rPr>
        <w:cr/>
      </w:r>
      <w:r>
        <w:rPr>
          <w:rFonts w:ascii="宋体" w:hAnsi="宋体" w:eastAsia="宋体" w:cs="宋体"/>
          <w:b w:val="0"/>
        </w:rPr>
        <w:t xml:space="preserve">    （3）本基金可投资股指期货，可能会出现的风险包括基差风险、合约品种差异造成的风险、标的物风险、衍生品模型风险等。</w:t>
      </w:r>
      <w:r>
        <w:rPr>
          <w:rFonts w:ascii="宋体" w:hAnsi="宋体" w:eastAsia="宋体" w:cs="宋体"/>
          <w:b w:val="0"/>
        </w:rPr>
        <w:cr/>
      </w:r>
      <w:r>
        <w:rPr>
          <w:rFonts w:ascii="宋体" w:hAnsi="宋体" w:eastAsia="宋体" w:cs="宋体"/>
          <w:b w:val="0"/>
        </w:rPr>
        <w:t xml:space="preserve">    （4）本基金可投资国债期货，国债期货的风险主要包含市场风险、流动性风险、信用风险、合规性风险以及国债期货实物交割风险等。</w:t>
      </w:r>
      <w:r>
        <w:rPr>
          <w:rFonts w:ascii="宋体" w:hAnsi="宋体" w:eastAsia="宋体" w:cs="宋体"/>
          <w:b w:val="0"/>
        </w:rPr>
        <w:cr/>
      </w:r>
      <w:r>
        <w:rPr>
          <w:rFonts w:ascii="宋体" w:hAnsi="宋体" w:eastAsia="宋体" w:cs="宋体"/>
          <w:b w:val="0"/>
        </w:rPr>
        <w:t xml:space="preserve">    （5）本基金可投资股票期权，股票期权的风险包括市场风险、流动性风险、基差风险、保证金风险和信用风险。</w:t>
      </w:r>
      <w:r>
        <w:rPr>
          <w:rFonts w:ascii="宋体" w:hAnsi="宋体" w:eastAsia="宋体" w:cs="宋体"/>
          <w:b w:val="0"/>
        </w:rPr>
        <w:cr/>
      </w:r>
      <w:r>
        <w:rPr>
          <w:rFonts w:ascii="宋体" w:hAnsi="宋体" w:eastAsia="宋体" w:cs="宋体"/>
          <w:b w:val="0"/>
        </w:rPr>
        <w:t xml:space="preserve">    （6）本基金可投资资产支持证券，资产支持证券的风险主要包括信用风险、利率风险、流动性风险、提前偿付风险等。</w:t>
      </w:r>
      <w:r>
        <w:rPr>
          <w:rFonts w:ascii="宋体" w:hAnsi="宋体" w:eastAsia="宋体" w:cs="宋体"/>
          <w:b w:val="0"/>
        </w:rPr>
        <w:cr/>
      </w:r>
      <w:r>
        <w:rPr>
          <w:rFonts w:ascii="宋体" w:hAnsi="宋体" w:eastAsia="宋体" w:cs="宋体"/>
          <w:b w:val="0"/>
        </w:rPr>
        <w:t xml:space="preserve">    （7）本基金可投资存托凭证，除与其他仅投资于境内市场股票的基金所面临的共同风险外，本基金还将面临中国存托凭证价格大幅波动甚至出现较大亏损的风险，以及与中国存托凭证发行机制相关的风险等。</w:t>
      </w:r>
      <w:r>
        <w:rPr>
          <w:rFonts w:ascii="宋体" w:hAnsi="宋体" w:eastAsia="宋体" w:cs="宋体"/>
          <w:b w:val="0"/>
        </w:rPr>
        <w:cr/>
      </w:r>
      <w:r>
        <w:rPr>
          <w:rFonts w:ascii="宋体" w:hAnsi="宋体" w:eastAsia="宋体" w:cs="宋体"/>
          <w:b w:val="0"/>
        </w:rPr>
        <w:t xml:space="preserve">    （8）本基金除与其他投资于内地市场股票的基金所面临的共同风险外，本基金还面临港股通机制下因投资环境、投资者结构、投资标的构成、市场制度以及交易规则等差异所带来的特有风险。</w:t>
      </w:r>
      <w:r>
        <w:rPr>
          <w:rFonts w:ascii="宋体" w:hAnsi="宋体" w:eastAsia="宋体" w:cs="宋体"/>
          <w:b w:val="0"/>
        </w:rPr>
        <w:cr/>
      </w:r>
      <w:r>
        <w:rPr>
          <w:rFonts w:ascii="宋体" w:hAnsi="宋体" w:eastAsia="宋体" w:cs="宋体"/>
          <w:b w:val="0"/>
        </w:rPr>
        <w:t xml:space="preserve">    （9）本基金可投资科创板股票，会面临因投资标的、市场制度以及交易规则等差异带来的特有风险，包括但不限于退市风险、市场风险、流动性风险、投资集中的风险、系统性风险、股价波动风险、政策风险等。</w:t>
      </w:r>
      <w:r>
        <w:rPr>
          <w:rFonts w:ascii="宋体" w:hAnsi="宋体" w:eastAsia="宋体" w:cs="宋体"/>
          <w:b w:val="0"/>
        </w:rPr>
        <w:cr/>
      </w:r>
      <w:r>
        <w:rPr>
          <w:rFonts w:ascii="宋体" w:hAnsi="宋体" w:eastAsia="宋体" w:cs="宋体"/>
          <w:b w:val="0"/>
        </w:rPr>
        <w:t xml:space="preserve">    （10）本基金可投资北交所上市交易股票，将面临因投资环境、投资标的、市场制度以及交易规则等差异带来的特有风险，包括但不限于上市公司经营风险、股价波动较大的风险、流动性较差的风险、退市风险、投资集中风险、转板风险、监管规则变化的风险等。</w:t>
      </w:r>
      <w:r>
        <w:rPr>
          <w:rFonts w:ascii="宋体" w:hAnsi="宋体" w:eastAsia="宋体" w:cs="宋体"/>
          <w:b w:val="0"/>
        </w:rPr>
        <w:cr/>
      </w:r>
      <w:r>
        <w:rPr>
          <w:rFonts w:ascii="宋体" w:hAnsi="宋体" w:eastAsia="宋体" w:cs="宋体"/>
          <w:b w:val="0"/>
        </w:rPr>
        <w:t xml:space="preserve">    （11）本基金可参与融资业务，融资业务除具有普通证券交易所具有的政策风险、市场风险、违约风险、操作风险等各种风险外，因融资业务的杠杆效应，基金财产可能因此产生更大的收益波动。</w:t>
      </w:r>
      <w:r>
        <w:rPr>
          <w:rFonts w:ascii="宋体" w:hAnsi="宋体" w:eastAsia="宋体" w:cs="宋体"/>
          <w:b w:val="0"/>
        </w:rPr>
        <w:cr/>
      </w:r>
      <w:r>
        <w:rPr>
          <w:rFonts w:ascii="宋体" w:hAnsi="宋体" w:eastAsia="宋体" w:cs="宋体"/>
          <w:b w:val="0"/>
        </w:rPr>
        <w:t xml:space="preserve">    （12）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r>
        <w:rPr>
          <w:rFonts w:ascii="宋体" w:hAnsi="宋体" w:eastAsia="宋体" w:cs="宋体"/>
          <w:b w:val="0"/>
        </w:rPr>
        <w:cr/>
      </w:r>
      <w:r>
        <w:rPr>
          <w:rFonts w:ascii="宋体" w:hAnsi="宋体" w:eastAsia="宋体" w:cs="宋体"/>
          <w:b w:val="0"/>
        </w:rPr>
        <w:t xml:space="preserve">    2、开放式基金的共有风险：市场风险、管理风险、职业道德风险、流动性风险、合规风险、投资管理风险、实施侧袋机制对投资者的影响、本基金法律文件风险收益特征表述与销售机构基金风险评价可能不一致的风险、基金管理人职责终止风险以及其他风险。</w:t>
      </w:r>
    </w:p>
    <w:p/>
    <w:p>
      <w:r>
        <w:rPr>
          <w:rFonts w:ascii="宋体" w:hAnsi="宋体" w:eastAsia="宋体" w:cs="宋体"/>
          <w:b/>
        </w:rPr>
        <w:t>（二）重要提示</w:t>
      </w:r>
    </w:p>
    <w:p>
      <w:pPr>
        <w:jc w:val="left"/>
      </w:pPr>
      <w:r>
        <w:rPr>
          <w:rFonts w:ascii="宋体" w:hAnsi="宋体" w:eastAsia="宋体" w:cs="宋体"/>
          <w:b w:val="0"/>
        </w:rPr>
        <w:t xml:space="preserve">    中国证监会对本基金募集的注册，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r>
        <w:rPr>
          <w:rFonts w:ascii="宋体" w:hAnsi="宋体" w:eastAsia="宋体" w:cs="宋体"/>
          <w:b w:val="0"/>
        </w:rPr>
        <w:cr/>
      </w:r>
      <w:r>
        <w:rPr>
          <w:rFonts w:ascii="宋体" w:hAnsi="宋体" w:eastAsia="宋体" w:cs="宋体"/>
          <w:b w:val="0"/>
        </w:rPr>
        <w:t xml:space="preserve">    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r>
        <w:rPr>
          <w:rFonts w:ascii="宋体" w:hAnsi="宋体" w:eastAsia="宋体" w:cs="宋体"/>
          <w:b w:val="0"/>
        </w:rPr>
        <w:cr/>
      </w:r>
      <w:r>
        <w:rPr>
          <w:rFonts w:ascii="宋体" w:hAnsi="宋体" w:eastAsia="宋体" w:cs="宋体"/>
          <w:b w:val="0"/>
        </w:rPr>
        <w:t xml:space="preserve">    因《基金合同》而产生的或与《基金合同》有关的一切争议，应友好协商解决；如经友好协商未能解决的，则任何一方应当按《基金合同》的约定提交仲裁。详情见本基金《基金合同》第二十一部分“争议的处理和适用的法律”。</w:t>
      </w:r>
    </w:p>
    <w:p/>
    <w:p>
      <w:pPr>
        <w:pStyle w:val="3"/>
        <w:jc w:val="left"/>
      </w:pPr>
      <w:r>
        <w:rPr>
          <w:rFonts w:ascii="宋体" w:hAnsi="宋体" w:eastAsia="宋体" w:cs="宋体"/>
        </w:rPr>
        <w:t>五、其他资料查询方式</w:t>
      </w:r>
    </w:p>
    <w:p>
      <w:pPr>
        <w:jc w:val="left"/>
      </w:pPr>
      <w:r>
        <w:rPr>
          <w:rFonts w:ascii="宋体" w:hAnsi="宋体" w:eastAsia="宋体" w:cs="宋体"/>
          <w:b w:val="0"/>
        </w:rPr>
        <w:t xml:space="preserve">    以下资料详见东方阿尔法基金官方网站【www.dfa66.com】【客服电话：400-930-6677】</w:t>
      </w:r>
      <w:r>
        <w:rPr>
          <w:rFonts w:ascii="宋体" w:hAnsi="宋体" w:eastAsia="宋体" w:cs="宋体"/>
          <w:b w:val="0"/>
        </w:rPr>
        <w:cr/>
      </w:r>
      <w:r>
        <w:rPr>
          <w:rFonts w:ascii="宋体" w:hAnsi="宋体" w:eastAsia="宋体" w:cs="宋体"/>
          <w:b w:val="0"/>
        </w:rPr>
        <w:t xml:space="preserve">    （1）基金合同、托管协议、招募说明书</w:t>
      </w:r>
      <w:r>
        <w:rPr>
          <w:rFonts w:ascii="宋体" w:hAnsi="宋体" w:eastAsia="宋体" w:cs="宋体"/>
          <w:b w:val="0"/>
        </w:rPr>
        <w:cr/>
      </w:r>
      <w:r>
        <w:rPr>
          <w:rFonts w:ascii="宋体" w:hAnsi="宋体" w:eastAsia="宋体" w:cs="宋体"/>
          <w:b w:val="0"/>
        </w:rPr>
        <w:t xml:space="preserve">    （2）定期报告，包括基金季度报告、中期报告和年度报告</w:t>
      </w:r>
      <w:r>
        <w:rPr>
          <w:rFonts w:ascii="宋体" w:hAnsi="宋体" w:eastAsia="宋体" w:cs="宋体"/>
          <w:b w:val="0"/>
        </w:rPr>
        <w:cr/>
      </w:r>
      <w:r>
        <w:rPr>
          <w:rFonts w:ascii="宋体" w:hAnsi="宋体" w:eastAsia="宋体" w:cs="宋体"/>
          <w:b w:val="0"/>
        </w:rPr>
        <w:t xml:space="preserve">    （3）基金份额净值</w:t>
      </w:r>
      <w:r>
        <w:rPr>
          <w:rFonts w:ascii="宋体" w:hAnsi="宋体" w:eastAsia="宋体" w:cs="宋体"/>
          <w:b w:val="0"/>
        </w:rPr>
        <w:cr/>
      </w:r>
      <w:r>
        <w:rPr>
          <w:rFonts w:ascii="宋体" w:hAnsi="宋体" w:eastAsia="宋体" w:cs="宋体"/>
          <w:b w:val="0"/>
        </w:rPr>
        <w:t xml:space="preserve">    （4）基金销售机构及联系方式</w:t>
      </w:r>
      <w:r>
        <w:rPr>
          <w:rFonts w:ascii="宋体" w:hAnsi="宋体" w:eastAsia="宋体" w:cs="宋体"/>
          <w:b w:val="0"/>
        </w:rPr>
        <w:cr/>
      </w:r>
      <w:r>
        <w:rPr>
          <w:rFonts w:ascii="宋体" w:hAnsi="宋体" w:eastAsia="宋体" w:cs="宋体"/>
          <w:b w:val="0"/>
        </w:rPr>
        <w:t xml:space="preserve">    （5）其他重要资料</w:t>
      </w:r>
    </w:p>
    <w:p/>
    <w:p>
      <w:pPr>
        <w:pStyle w:val="3"/>
        <w:jc w:val="left"/>
      </w:pPr>
      <w:r>
        <w:rPr>
          <w:rFonts w:ascii="宋体" w:hAnsi="宋体" w:eastAsia="宋体" w:cs="宋体"/>
        </w:rPr>
        <w:t>六、其他情况说明</w:t>
      </w:r>
    </w:p>
    <w:p>
      <w:pPr>
        <w:jc w:val="left"/>
      </w:pPr>
      <w:r>
        <w:rPr>
          <w:rFonts w:ascii="宋体" w:hAnsi="宋体" w:eastAsia="宋体" w:cs="宋体"/>
          <w:b w:val="0"/>
        </w:rPr>
        <w:t xml:space="preserve">    无</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851"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2" w:space="0"/>
      </w:pBdr>
      <w:tabs>
        <w:tab w:val="right" w:pos="8640"/>
      </w:tabs>
      <w:jc w:val="center"/>
      <w:textAlignment w:val="center"/>
      <w:rPr>
        <w:rFonts w:ascii="宋体" w:hAnsi="宋体"/>
        <w:sz w:val="20"/>
        <w:szCs w:val="20"/>
      </w:rPr>
    </w:pPr>
    <w:r>
      <w:rPr>
        <w:rFonts w:hint="eastAsia" w:ascii="宋体" w:hAnsi="宋体" w:cs="宋体"/>
        <w:sz w:val="20"/>
        <w:szCs w:val="20"/>
        <w:lang w:bidi="ar"/>
      </w:rPr>
      <w:t>第</w:t>
    </w:r>
    <w:r>
      <w:rPr>
        <w:rFonts w:hint="eastAsia" w:ascii="宋体" w:hAnsi="宋体" w:cs="Times New Roman"/>
        <w:sz w:val="20"/>
        <w:szCs w:val="20"/>
        <w:lang w:bidi="ar"/>
      </w:rPr>
      <w:fldChar w:fldCharType="begin"/>
    </w:r>
    <w:r>
      <w:rPr>
        <w:rFonts w:hint="eastAsia" w:ascii="宋体" w:hAnsi="宋体" w:cs="宋体"/>
        <w:sz w:val="20"/>
        <w:szCs w:val="20"/>
        <w:lang w:bidi="ar"/>
      </w:rPr>
      <w:instrText xml:space="preserve">PAGE  \* MERGEFORMAT</w:instrText>
    </w:r>
    <w:r>
      <w:rPr>
        <w:rFonts w:hint="eastAsia" w:ascii="宋体" w:hAnsi="宋体" w:cs="Times New Roman"/>
        <w:sz w:val="20"/>
        <w:szCs w:val="20"/>
        <w:lang w:bidi="ar"/>
      </w:rPr>
      <w:fldChar w:fldCharType="separate"/>
    </w:r>
    <w:r>
      <w:rPr>
        <w:rFonts w:ascii="宋体" w:hAnsi="宋体" w:cs="宋体"/>
        <w:sz w:val="20"/>
        <w:szCs w:val="20"/>
        <w:lang w:bidi="ar"/>
      </w:rPr>
      <w:t>1</w:t>
    </w:r>
    <w:r>
      <w:rPr>
        <w:rFonts w:hint="eastAsia" w:ascii="宋体" w:hAnsi="宋体" w:cs="宋体"/>
        <w:sz w:val="20"/>
        <w:szCs w:val="20"/>
        <w:lang w:bidi="ar"/>
      </w:rPr>
      <w:fldChar w:fldCharType="end"/>
    </w:r>
    <w:r>
      <w:rPr>
        <w:rFonts w:hint="eastAsia" w:ascii="宋体" w:hAnsi="宋体" w:cs="宋体"/>
        <w:sz w:val="20"/>
        <w:szCs w:val="20"/>
        <w:lang w:bidi="ar"/>
      </w:rPr>
      <w:t>页，共</w:t>
    </w:r>
    <w:r>
      <w:rPr>
        <w:rFonts w:hint="eastAsia" w:ascii="宋体" w:hAnsi="宋体" w:cs="Times New Roman"/>
        <w:sz w:val="20"/>
        <w:szCs w:val="20"/>
        <w:lang w:bidi="ar"/>
      </w:rPr>
      <w:fldChar w:fldCharType="begin"/>
    </w:r>
    <w:r>
      <w:rPr>
        <w:rFonts w:hint="eastAsia" w:ascii="宋体" w:hAnsi="宋体" w:cs="宋体"/>
        <w:sz w:val="20"/>
        <w:szCs w:val="20"/>
        <w:lang w:bidi="ar"/>
      </w:rPr>
      <w:instrText xml:space="preserve">NUMPAGES  \* MERGEFORMAT </w:instrText>
    </w:r>
    <w:r>
      <w:rPr>
        <w:rFonts w:hint="eastAsia" w:ascii="宋体" w:hAnsi="宋体" w:cs="Times New Roman"/>
        <w:sz w:val="20"/>
        <w:szCs w:val="20"/>
        <w:lang w:bidi="ar"/>
      </w:rPr>
      <w:fldChar w:fldCharType="separate"/>
    </w:r>
    <w:r>
      <w:rPr>
        <w:rFonts w:ascii="宋体" w:hAnsi="宋体" w:cs="宋体"/>
        <w:sz w:val="20"/>
        <w:szCs w:val="20"/>
        <w:lang w:bidi="ar"/>
      </w:rPr>
      <w:t>1</w:t>
    </w:r>
    <w:r>
      <w:rPr>
        <w:rFonts w:hint="eastAsia" w:ascii="宋体" w:hAnsi="宋体" w:cs="宋体"/>
        <w:sz w:val="20"/>
        <w:szCs w:val="20"/>
        <w:lang w:bidi="ar"/>
      </w:rPr>
      <w:fldChar w:fldCharType="end"/>
    </w:r>
    <w:r>
      <w:rPr>
        <w:rFonts w:hint="eastAsia" w:ascii="宋体" w:hAnsi="宋体" w:cs="宋体"/>
        <w:sz w:val="20"/>
        <w:szCs w:val="20"/>
        <w:lang w:bidi="ar"/>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rPr>
        <w:rFonts w:ascii="宋体" w:hAnsi="宋体"/>
      </w:rPr>
    </w:pPr>
    <w:r>
      <w:rPr>
        <w:rFonts w:ascii="宋体" w:hAnsi="宋体"/>
      </w:rPr>
      <w:ptab w:relativeTo="margin" w:alignment="center" w:leader="none"/>
    </w:r>
    <w:r>
      <w:rPr>
        <w:rFonts w:hint="eastAsia" w:ascii="宋体" w:hAnsi="宋体"/>
        <w:sz w:val="18"/>
      </w:rPr>
      <w:t>东方阿尔法科技智选混合型发起式证券投资基金（A类份额）基金产品资料概要更新</w:t>
    </w:r>
    <w:r>
      <w:rPr>
        <w:rFonts w:ascii="宋体" w:hAnsi="宋体"/>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4F1"/>
    <w:rsid w:val="0000797B"/>
    <w:rsid w:val="000172DD"/>
    <w:rsid w:val="00031D8B"/>
    <w:rsid w:val="00033DD2"/>
    <w:rsid w:val="000358E9"/>
    <w:rsid w:val="00044DFE"/>
    <w:rsid w:val="00067EA6"/>
    <w:rsid w:val="000B14F1"/>
    <w:rsid w:val="000D44F1"/>
    <w:rsid w:val="000F65E0"/>
    <w:rsid w:val="00144E90"/>
    <w:rsid w:val="0016202E"/>
    <w:rsid w:val="00180271"/>
    <w:rsid w:val="001A0694"/>
    <w:rsid w:val="001B34AD"/>
    <w:rsid w:val="001E49DE"/>
    <w:rsid w:val="001E72DB"/>
    <w:rsid w:val="001E7C0C"/>
    <w:rsid w:val="001F2A2B"/>
    <w:rsid w:val="00213B69"/>
    <w:rsid w:val="0025237E"/>
    <w:rsid w:val="0026022A"/>
    <w:rsid w:val="00262E08"/>
    <w:rsid w:val="002846DD"/>
    <w:rsid w:val="00287789"/>
    <w:rsid w:val="00294812"/>
    <w:rsid w:val="002A1FFE"/>
    <w:rsid w:val="002A36A8"/>
    <w:rsid w:val="002B4056"/>
    <w:rsid w:val="002C6A0C"/>
    <w:rsid w:val="002D4665"/>
    <w:rsid w:val="002E2BC7"/>
    <w:rsid w:val="00324653"/>
    <w:rsid w:val="00347962"/>
    <w:rsid w:val="00355A5F"/>
    <w:rsid w:val="003B643E"/>
    <w:rsid w:val="003E01BE"/>
    <w:rsid w:val="003E7B21"/>
    <w:rsid w:val="00420D84"/>
    <w:rsid w:val="00435171"/>
    <w:rsid w:val="00464645"/>
    <w:rsid w:val="0048630B"/>
    <w:rsid w:val="004A5321"/>
    <w:rsid w:val="004B3066"/>
    <w:rsid w:val="004F33D8"/>
    <w:rsid w:val="005037A9"/>
    <w:rsid w:val="00515E8B"/>
    <w:rsid w:val="00536F98"/>
    <w:rsid w:val="0054091C"/>
    <w:rsid w:val="005826D5"/>
    <w:rsid w:val="005A2FA6"/>
    <w:rsid w:val="005B565C"/>
    <w:rsid w:val="005D1F67"/>
    <w:rsid w:val="0061633B"/>
    <w:rsid w:val="006303D6"/>
    <w:rsid w:val="0063564B"/>
    <w:rsid w:val="00666C63"/>
    <w:rsid w:val="00680025"/>
    <w:rsid w:val="006935A0"/>
    <w:rsid w:val="006A6402"/>
    <w:rsid w:val="006B4B3E"/>
    <w:rsid w:val="006C7BC8"/>
    <w:rsid w:val="006D1AF4"/>
    <w:rsid w:val="006D1D70"/>
    <w:rsid w:val="00752D0D"/>
    <w:rsid w:val="007D6500"/>
    <w:rsid w:val="007F2E5E"/>
    <w:rsid w:val="00832DA1"/>
    <w:rsid w:val="00842B26"/>
    <w:rsid w:val="00850BF6"/>
    <w:rsid w:val="00857D40"/>
    <w:rsid w:val="00917A48"/>
    <w:rsid w:val="0092608A"/>
    <w:rsid w:val="00953CC9"/>
    <w:rsid w:val="0099208B"/>
    <w:rsid w:val="009A27BD"/>
    <w:rsid w:val="009C2384"/>
    <w:rsid w:val="009E2E87"/>
    <w:rsid w:val="009F43BC"/>
    <w:rsid w:val="009F4840"/>
    <w:rsid w:val="00A05910"/>
    <w:rsid w:val="00A74E55"/>
    <w:rsid w:val="00A96B95"/>
    <w:rsid w:val="00AE104D"/>
    <w:rsid w:val="00AF44FF"/>
    <w:rsid w:val="00B53886"/>
    <w:rsid w:val="00B659D3"/>
    <w:rsid w:val="00BD2190"/>
    <w:rsid w:val="00BD2BC1"/>
    <w:rsid w:val="00C05CA1"/>
    <w:rsid w:val="00C06BEF"/>
    <w:rsid w:val="00C15EFA"/>
    <w:rsid w:val="00C563A3"/>
    <w:rsid w:val="00C6706A"/>
    <w:rsid w:val="00C84B5D"/>
    <w:rsid w:val="00CC4CE4"/>
    <w:rsid w:val="00CC6846"/>
    <w:rsid w:val="00D04B24"/>
    <w:rsid w:val="00D85B08"/>
    <w:rsid w:val="00D91EBF"/>
    <w:rsid w:val="00DC5E2B"/>
    <w:rsid w:val="00DE3FE0"/>
    <w:rsid w:val="00DF1D38"/>
    <w:rsid w:val="00E220FA"/>
    <w:rsid w:val="00E24BF6"/>
    <w:rsid w:val="00E34F85"/>
    <w:rsid w:val="00E371F8"/>
    <w:rsid w:val="00E913D3"/>
    <w:rsid w:val="00F1496B"/>
    <w:rsid w:val="00F17E43"/>
    <w:rsid w:val="00F32DCB"/>
    <w:rsid w:val="00F60A22"/>
    <w:rsid w:val="00F819EF"/>
    <w:rsid w:val="00F931A0"/>
    <w:rsid w:val="00F935C5"/>
    <w:rsid w:val="00FA0949"/>
    <w:rsid w:val="00FC4DE5"/>
    <w:rsid w:val="17FF4F08"/>
    <w:rsid w:val="312016A7"/>
    <w:rsid w:val="328572ED"/>
    <w:rsid w:val="3E9A1429"/>
    <w:rsid w:val="5EE34946"/>
    <w:rsid w:val="62396C0D"/>
    <w:rsid w:val="62671060"/>
    <w:rsid w:val="67517C74"/>
    <w:rsid w:val="6D1A4ACC"/>
    <w:rsid w:val="791E22E2"/>
    <w:rsid w:val="7A382AC9"/>
    <w:rsid w:val="7F246E1A"/>
    <w:rsid w:val="7FA31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qFormat="1" w:uiPriority="61"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jc w:val="both"/>
    </w:pPr>
    <w:rPr>
      <w:rFonts w:eastAsia="宋体" w:asciiTheme="minorHAnsi" w:hAnsiTheme="minorHAnsi" w:cstheme="minorBidi"/>
      <w:kern w:val="2"/>
      <w:sz w:val="21"/>
      <w:szCs w:val="21"/>
      <w:lang w:val="en-US" w:eastAsia="zh-CN" w:bidi="ar-SA"/>
    </w:rPr>
  </w:style>
  <w:style w:type="paragraph" w:styleId="2">
    <w:name w:val="heading 1"/>
    <w:basedOn w:val="1"/>
    <w:next w:val="1"/>
    <w:link w:val="37"/>
    <w:qFormat/>
    <w:uiPriority w:val="9"/>
    <w:pPr>
      <w:spacing w:before="340" w:after="330" w:line="576" w:lineRule="auto"/>
      <w:jc w:val="center"/>
      <w:outlineLvl w:val="0"/>
    </w:pPr>
    <w:rPr>
      <w:b/>
      <w:bCs/>
      <w:kern w:val="44"/>
      <w:sz w:val="24"/>
      <w:szCs w:val="44"/>
    </w:rPr>
  </w:style>
  <w:style w:type="paragraph" w:styleId="3">
    <w:name w:val="heading 2"/>
    <w:basedOn w:val="1"/>
    <w:next w:val="1"/>
    <w:link w:val="38"/>
    <w:unhideWhenUsed/>
    <w:qFormat/>
    <w:uiPriority w:val="9"/>
    <w:pPr>
      <w:adjustRightInd w:val="0"/>
      <w:spacing w:line="360" w:lineRule="auto"/>
      <w:jc w:val="left"/>
      <w:outlineLvl w:val="1"/>
    </w:pPr>
    <w:rPr>
      <w:rFonts w:asciiTheme="majorHAnsi" w:hAnsiTheme="majorHAnsi" w:cstheme="majorBidi"/>
      <w:b/>
      <w:bCs/>
      <w:sz w:val="24"/>
      <w:szCs w:val="32"/>
    </w:rPr>
  </w:style>
  <w:style w:type="paragraph" w:styleId="4">
    <w:name w:val="heading 3"/>
    <w:basedOn w:val="1"/>
    <w:next w:val="1"/>
    <w:link w:val="39"/>
    <w:unhideWhenUsed/>
    <w:qFormat/>
    <w:uiPriority w:val="9"/>
    <w:pPr>
      <w:keepNext/>
      <w:keepLines/>
      <w:spacing w:line="360" w:lineRule="auto"/>
      <w:outlineLvl w:val="2"/>
    </w:pPr>
    <w:rPr>
      <w:b/>
      <w:bCs/>
      <w:sz w:val="24"/>
      <w:szCs w:val="32"/>
    </w:rPr>
  </w:style>
  <w:style w:type="paragraph" w:styleId="5">
    <w:name w:val="heading 4"/>
    <w:basedOn w:val="1"/>
    <w:next w:val="1"/>
    <w:link w:val="4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0">
    <w:name w:val="Default Paragraph Font"/>
    <w:semiHidden/>
    <w:unhideWhenUsed/>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260"/>
      <w:jc w:val="left"/>
    </w:pPr>
    <w:rPr>
      <w:sz w:val="18"/>
      <w:szCs w:val="18"/>
    </w:rPr>
  </w:style>
  <w:style w:type="paragraph" w:styleId="7">
    <w:name w:val="Normal Indent"/>
    <w:basedOn w:val="1"/>
    <w:link w:val="41"/>
    <w:semiHidden/>
    <w:unhideWhenUsed/>
    <w:uiPriority w:val="99"/>
    <w:pPr>
      <w:ind w:firstLine="420" w:firstLineChars="200"/>
    </w:pPr>
  </w:style>
  <w:style w:type="paragraph" w:styleId="8">
    <w:name w:val="Document Map"/>
    <w:basedOn w:val="1"/>
    <w:link w:val="57"/>
    <w:semiHidden/>
    <w:unhideWhenUsed/>
    <w:qFormat/>
    <w:uiPriority w:val="99"/>
    <w:rPr>
      <w:rFonts w:ascii="宋体"/>
      <w:sz w:val="18"/>
      <w:szCs w:val="18"/>
    </w:rPr>
  </w:style>
  <w:style w:type="paragraph" w:styleId="9">
    <w:name w:val="annotation text"/>
    <w:basedOn w:val="1"/>
    <w:link w:val="42"/>
    <w:semiHidden/>
    <w:unhideWhenUsed/>
    <w:uiPriority w:val="99"/>
    <w:pPr>
      <w:jc w:val="left"/>
    </w:pPr>
  </w:style>
  <w:style w:type="paragraph" w:styleId="10">
    <w:name w:val="Body Text"/>
    <w:basedOn w:val="1"/>
    <w:link w:val="45"/>
    <w:semiHidden/>
    <w:unhideWhenUsed/>
    <w:uiPriority w:val="99"/>
    <w:pPr>
      <w:spacing w:after="120"/>
    </w:pPr>
  </w:style>
  <w:style w:type="paragraph" w:styleId="11">
    <w:name w:val="toc 5"/>
    <w:basedOn w:val="1"/>
    <w:next w:val="1"/>
    <w:unhideWhenUsed/>
    <w:qFormat/>
    <w:uiPriority w:val="39"/>
    <w:pPr>
      <w:ind w:left="840"/>
      <w:jc w:val="left"/>
    </w:pPr>
    <w:rPr>
      <w:sz w:val="18"/>
      <w:szCs w:val="18"/>
    </w:rPr>
  </w:style>
  <w:style w:type="paragraph" w:styleId="12">
    <w:name w:val="toc 3"/>
    <w:basedOn w:val="1"/>
    <w:next w:val="1"/>
    <w:unhideWhenUsed/>
    <w:uiPriority w:val="39"/>
    <w:pPr>
      <w:spacing w:line="240" w:lineRule="auto"/>
      <w:ind w:left="420"/>
      <w:jc w:val="left"/>
    </w:pPr>
    <w:rPr>
      <w:i/>
      <w:iCs/>
      <w:szCs w:val="20"/>
    </w:rPr>
  </w:style>
  <w:style w:type="paragraph" w:styleId="13">
    <w:name w:val="Plain Text"/>
    <w:basedOn w:val="1"/>
    <w:link w:val="47"/>
    <w:semiHidden/>
    <w:unhideWhenUsed/>
    <w:qFormat/>
    <w:uiPriority w:val="99"/>
    <w:rPr>
      <w:rFonts w:hAnsi="Courier New" w:cs="Courier New" w:asciiTheme="minorEastAsia"/>
    </w:rPr>
  </w:style>
  <w:style w:type="paragraph" w:styleId="14">
    <w:name w:val="toc 8"/>
    <w:basedOn w:val="1"/>
    <w:next w:val="1"/>
    <w:unhideWhenUsed/>
    <w:qFormat/>
    <w:uiPriority w:val="39"/>
    <w:pPr>
      <w:ind w:left="1470"/>
      <w:jc w:val="left"/>
    </w:pPr>
    <w:rPr>
      <w:rFonts w:eastAsiaTheme="minorHAnsi"/>
      <w:sz w:val="18"/>
      <w:szCs w:val="18"/>
    </w:rPr>
  </w:style>
  <w:style w:type="paragraph" w:styleId="15">
    <w:name w:val="Date"/>
    <w:basedOn w:val="1"/>
    <w:next w:val="1"/>
    <w:link w:val="46"/>
    <w:semiHidden/>
    <w:unhideWhenUsed/>
    <w:qFormat/>
    <w:uiPriority w:val="99"/>
    <w:pPr>
      <w:ind w:left="100" w:leftChars="2500"/>
    </w:pPr>
  </w:style>
  <w:style w:type="paragraph" w:styleId="16">
    <w:name w:val="Balloon Text"/>
    <w:basedOn w:val="1"/>
    <w:link w:val="49"/>
    <w:semiHidden/>
    <w:unhideWhenUsed/>
    <w:qFormat/>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9060"/>
      </w:tabs>
      <w:spacing w:line="240" w:lineRule="auto"/>
      <w:jc w:val="left"/>
    </w:pPr>
    <w:rPr>
      <w:b/>
      <w:bCs/>
      <w:caps/>
      <w:szCs w:val="20"/>
    </w:rPr>
  </w:style>
  <w:style w:type="paragraph" w:styleId="20">
    <w:name w:val="toc 4"/>
    <w:basedOn w:val="1"/>
    <w:next w:val="1"/>
    <w:unhideWhenUsed/>
    <w:qFormat/>
    <w:uiPriority w:val="39"/>
    <w:pPr>
      <w:ind w:left="630"/>
      <w:jc w:val="left"/>
    </w:pPr>
    <w:rPr>
      <w:sz w:val="18"/>
      <w:szCs w:val="18"/>
    </w:rPr>
  </w:style>
  <w:style w:type="paragraph" w:styleId="21">
    <w:name w:val="toc 6"/>
    <w:basedOn w:val="1"/>
    <w:next w:val="1"/>
    <w:unhideWhenUsed/>
    <w:qFormat/>
    <w:uiPriority w:val="39"/>
    <w:pPr>
      <w:ind w:left="1050"/>
      <w:jc w:val="left"/>
    </w:pPr>
    <w:rPr>
      <w:sz w:val="18"/>
      <w:szCs w:val="18"/>
    </w:rPr>
  </w:style>
  <w:style w:type="paragraph" w:styleId="22">
    <w:name w:val="toc 2"/>
    <w:basedOn w:val="1"/>
    <w:next w:val="1"/>
    <w:unhideWhenUsed/>
    <w:qFormat/>
    <w:uiPriority w:val="39"/>
    <w:pPr>
      <w:spacing w:line="240" w:lineRule="auto"/>
      <w:ind w:left="210"/>
      <w:jc w:val="left"/>
    </w:pPr>
    <w:rPr>
      <w:smallCaps/>
      <w:szCs w:val="20"/>
    </w:rPr>
  </w:style>
  <w:style w:type="paragraph" w:styleId="23">
    <w:name w:val="toc 9"/>
    <w:basedOn w:val="1"/>
    <w:next w:val="1"/>
    <w:unhideWhenUsed/>
    <w:qFormat/>
    <w:uiPriority w:val="39"/>
    <w:pPr>
      <w:ind w:left="1680"/>
      <w:jc w:val="left"/>
    </w:pPr>
    <w:rPr>
      <w:rFonts w:eastAsiaTheme="minorHAnsi"/>
      <w:sz w:val="18"/>
      <w:szCs w:val="18"/>
    </w:rPr>
  </w:style>
  <w:style w:type="paragraph" w:styleId="24">
    <w:name w:val="Normal (Web)"/>
    <w:basedOn w:val="1"/>
    <w:semiHidden/>
    <w:unhideWhenUsed/>
    <w:qFormat/>
    <w:uiPriority w:val="99"/>
    <w:rPr>
      <w:rFonts w:ascii="Times New Roman" w:hAnsi="Times New Roman" w:cs="宋体"/>
      <w:sz w:val="24"/>
      <w:szCs w:val="24"/>
    </w:rPr>
  </w:style>
  <w:style w:type="paragraph" w:styleId="25">
    <w:name w:val="Title"/>
    <w:basedOn w:val="1"/>
    <w:next w:val="1"/>
    <w:link w:val="51"/>
    <w:qFormat/>
    <w:uiPriority w:val="10"/>
    <w:pPr>
      <w:spacing w:before="240" w:after="60"/>
      <w:jc w:val="center"/>
      <w:outlineLvl w:val="0"/>
    </w:pPr>
    <w:rPr>
      <w:rFonts w:asciiTheme="majorHAnsi" w:hAnsiTheme="majorHAnsi" w:eastAsiaTheme="majorEastAsia" w:cstheme="majorBidi"/>
      <w:b/>
      <w:bCs/>
      <w:sz w:val="32"/>
      <w:szCs w:val="32"/>
    </w:rPr>
  </w:style>
  <w:style w:type="paragraph" w:styleId="26">
    <w:name w:val="annotation subject"/>
    <w:basedOn w:val="9"/>
    <w:next w:val="9"/>
    <w:link w:val="48"/>
    <w:semiHidden/>
    <w:unhideWhenUsed/>
    <w:qFormat/>
    <w:uiPriority w:val="99"/>
    <w:rPr>
      <w:b/>
      <w:bCs/>
    </w:rPr>
  </w:style>
  <w:style w:type="table" w:styleId="28">
    <w:name w:val="Table Grid"/>
    <w:basedOn w:val="27"/>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Light List Accent 1"/>
    <w:basedOn w:val="27"/>
    <w:semiHidden/>
    <w:unhideWhenUsed/>
    <w:qFormat/>
    <w:uiPriority w:val="61"/>
    <w:rPr>
      <w:rFonts w:ascii="Times New Roman" w:hAnsi="Times New Roman" w:eastAsia="宋体" w:cs="Times New Roman"/>
      <w:kern w:val="0"/>
      <w:sz w:val="20"/>
      <w:szCs w:val="20"/>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character" w:styleId="31">
    <w:name w:val="Strong"/>
    <w:basedOn w:val="30"/>
    <w:qFormat/>
    <w:uiPriority w:val="22"/>
    <w:rPr>
      <w:b/>
      <w:bCs/>
    </w:rPr>
  </w:style>
  <w:style w:type="character" w:styleId="32">
    <w:name w:val="Hyperlink"/>
    <w:basedOn w:val="30"/>
    <w:unhideWhenUsed/>
    <w:qFormat/>
    <w:uiPriority w:val="99"/>
    <w:rPr>
      <w:color w:val="0000FF"/>
      <w:u w:val="single"/>
    </w:rPr>
  </w:style>
  <w:style w:type="character" w:styleId="33">
    <w:name w:val="HTML Code"/>
    <w:basedOn w:val="30"/>
    <w:semiHidden/>
    <w:unhideWhenUsed/>
    <w:qFormat/>
    <w:uiPriority w:val="99"/>
    <w:rPr>
      <w:rFonts w:ascii="Courier New" w:hAnsi="Courier New" w:cs="Courier New"/>
      <w:sz w:val="20"/>
      <w:szCs w:val="20"/>
    </w:rPr>
  </w:style>
  <w:style w:type="character" w:styleId="34">
    <w:name w:val="annotation reference"/>
    <w:basedOn w:val="30"/>
    <w:semiHidden/>
    <w:unhideWhenUsed/>
    <w:qFormat/>
    <w:uiPriority w:val="99"/>
    <w:rPr>
      <w:sz w:val="21"/>
      <w:szCs w:val="21"/>
    </w:rPr>
  </w:style>
  <w:style w:type="paragraph" w:customStyle="1" w:styleId="35">
    <w:name w:val="代码样式"/>
    <w:link w:val="36"/>
    <w:qFormat/>
    <w:uiPriority w:val="0"/>
    <w:pPr>
      <w:pBdr>
        <w:top w:val="single" w:color="auto" w:sz="4" w:space="1"/>
        <w:left w:val="single" w:color="auto" w:sz="4" w:space="4"/>
        <w:bottom w:val="single" w:color="auto" w:sz="4" w:space="1"/>
        <w:right w:val="single" w:color="auto" w:sz="4" w:space="4"/>
      </w:pBdr>
      <w:shd w:val="clear" w:color="auto" w:fill="A8D08D" w:themeFill="accent6" w:themeFillTint="99"/>
      <w:spacing w:beforeLines="50" w:afterLines="50"/>
      <w:ind w:left="50" w:leftChars="50" w:right="50" w:rightChars="50"/>
    </w:pPr>
    <w:rPr>
      <w:rFonts w:asciiTheme="minorHAnsi" w:hAnsiTheme="minorHAnsi" w:eastAsiaTheme="minorEastAsia" w:cstheme="minorBidi"/>
      <w:kern w:val="2"/>
      <w:sz w:val="21"/>
      <w:szCs w:val="21"/>
      <w:lang w:val="en-US" w:eastAsia="zh-CN" w:bidi="ar-SA"/>
    </w:rPr>
  </w:style>
  <w:style w:type="character" w:customStyle="1" w:styleId="36">
    <w:name w:val="代码样式 Char"/>
    <w:basedOn w:val="30"/>
    <w:link w:val="35"/>
    <w:qFormat/>
    <w:uiPriority w:val="0"/>
    <w:rPr>
      <w:shd w:val="clear" w:color="auto" w:fill="A8D08D" w:themeFill="accent6" w:themeFillTint="99"/>
    </w:rPr>
  </w:style>
  <w:style w:type="character" w:customStyle="1" w:styleId="37">
    <w:name w:val="标题 1 字符"/>
    <w:basedOn w:val="30"/>
    <w:link w:val="2"/>
    <w:qFormat/>
    <w:uiPriority w:val="9"/>
    <w:rPr>
      <w:rFonts w:eastAsia="宋体"/>
      <w:b/>
      <w:bCs/>
      <w:kern w:val="44"/>
      <w:sz w:val="24"/>
      <w:szCs w:val="44"/>
    </w:rPr>
  </w:style>
  <w:style w:type="character" w:customStyle="1" w:styleId="38">
    <w:name w:val="标题 2 字符"/>
    <w:basedOn w:val="30"/>
    <w:link w:val="3"/>
    <w:qFormat/>
    <w:uiPriority w:val="9"/>
    <w:rPr>
      <w:rFonts w:eastAsia="宋体" w:asciiTheme="majorHAnsi" w:hAnsiTheme="majorHAnsi" w:cstheme="majorBidi"/>
      <w:b/>
      <w:bCs/>
      <w:sz w:val="24"/>
      <w:szCs w:val="32"/>
    </w:rPr>
  </w:style>
  <w:style w:type="character" w:customStyle="1" w:styleId="39">
    <w:name w:val="标题 3 字符"/>
    <w:basedOn w:val="30"/>
    <w:link w:val="4"/>
    <w:qFormat/>
    <w:uiPriority w:val="9"/>
    <w:rPr>
      <w:rFonts w:eastAsia="宋体"/>
      <w:b/>
      <w:bCs/>
      <w:sz w:val="24"/>
      <w:szCs w:val="32"/>
    </w:rPr>
  </w:style>
  <w:style w:type="character" w:customStyle="1" w:styleId="40">
    <w:name w:val="标题 4 字符"/>
    <w:basedOn w:val="30"/>
    <w:link w:val="5"/>
    <w:semiHidden/>
    <w:qFormat/>
    <w:uiPriority w:val="9"/>
    <w:rPr>
      <w:rFonts w:asciiTheme="majorHAnsi" w:hAnsiTheme="majorHAnsi" w:eastAsiaTheme="majorEastAsia" w:cstheme="majorBidi"/>
      <w:b/>
      <w:bCs/>
      <w:sz w:val="28"/>
      <w:szCs w:val="28"/>
    </w:rPr>
  </w:style>
  <w:style w:type="character" w:customStyle="1" w:styleId="41">
    <w:name w:val="正文缩进 字符"/>
    <w:link w:val="7"/>
    <w:semiHidden/>
    <w:qFormat/>
    <w:uiPriority w:val="99"/>
    <w:rPr>
      <w:rFonts w:asciiTheme="minorHAnsi" w:hAnsiTheme="minorHAnsi" w:eastAsiaTheme="minorEastAsia" w:cstheme="minorBidi"/>
      <w:sz w:val="21"/>
      <w:szCs w:val="22"/>
    </w:rPr>
  </w:style>
  <w:style w:type="character" w:customStyle="1" w:styleId="42">
    <w:name w:val="批注文字 字符"/>
    <w:basedOn w:val="30"/>
    <w:link w:val="9"/>
    <w:semiHidden/>
    <w:qFormat/>
    <w:uiPriority w:val="99"/>
    <w:rPr>
      <w:rFonts w:asciiTheme="minorHAnsi" w:hAnsiTheme="minorHAnsi" w:eastAsiaTheme="minorEastAsia" w:cstheme="minorBidi"/>
      <w:sz w:val="21"/>
      <w:szCs w:val="22"/>
    </w:rPr>
  </w:style>
  <w:style w:type="character" w:customStyle="1" w:styleId="43">
    <w:name w:val="页眉 字符"/>
    <w:basedOn w:val="30"/>
    <w:link w:val="18"/>
    <w:qFormat/>
    <w:uiPriority w:val="99"/>
    <w:rPr>
      <w:rFonts w:asciiTheme="minorHAnsi" w:hAnsiTheme="minorHAnsi" w:eastAsiaTheme="minorEastAsia" w:cstheme="minorBidi"/>
      <w:sz w:val="18"/>
      <w:szCs w:val="18"/>
    </w:rPr>
  </w:style>
  <w:style w:type="character" w:customStyle="1" w:styleId="44">
    <w:name w:val="页脚 字符"/>
    <w:basedOn w:val="30"/>
    <w:link w:val="17"/>
    <w:qFormat/>
    <w:uiPriority w:val="99"/>
    <w:rPr>
      <w:rFonts w:asciiTheme="minorHAnsi" w:hAnsiTheme="minorHAnsi" w:eastAsiaTheme="minorEastAsia" w:cstheme="minorBidi"/>
      <w:sz w:val="18"/>
      <w:szCs w:val="18"/>
    </w:rPr>
  </w:style>
  <w:style w:type="character" w:customStyle="1" w:styleId="45">
    <w:name w:val="正文文本 字符"/>
    <w:basedOn w:val="30"/>
    <w:link w:val="10"/>
    <w:semiHidden/>
    <w:qFormat/>
    <w:uiPriority w:val="99"/>
    <w:rPr>
      <w:rFonts w:asciiTheme="minorHAnsi" w:hAnsiTheme="minorHAnsi" w:eastAsiaTheme="minorEastAsia" w:cstheme="minorBidi"/>
      <w:sz w:val="21"/>
      <w:szCs w:val="22"/>
    </w:rPr>
  </w:style>
  <w:style w:type="character" w:customStyle="1" w:styleId="46">
    <w:name w:val="日期 字符"/>
    <w:basedOn w:val="30"/>
    <w:link w:val="15"/>
    <w:semiHidden/>
    <w:qFormat/>
    <w:uiPriority w:val="99"/>
    <w:rPr>
      <w:rFonts w:asciiTheme="minorHAnsi" w:hAnsiTheme="minorHAnsi" w:eastAsiaTheme="minorEastAsia" w:cstheme="minorBidi"/>
      <w:sz w:val="21"/>
      <w:szCs w:val="22"/>
    </w:rPr>
  </w:style>
  <w:style w:type="character" w:customStyle="1" w:styleId="47">
    <w:name w:val="纯文本 字符"/>
    <w:basedOn w:val="30"/>
    <w:link w:val="13"/>
    <w:semiHidden/>
    <w:qFormat/>
    <w:uiPriority w:val="99"/>
    <w:rPr>
      <w:rFonts w:hAnsi="Courier New" w:cs="Courier New" w:asciiTheme="minorEastAsia" w:eastAsiaTheme="minorEastAsia"/>
      <w:sz w:val="21"/>
      <w:szCs w:val="22"/>
    </w:rPr>
  </w:style>
  <w:style w:type="character" w:customStyle="1" w:styleId="48">
    <w:name w:val="批注主题 字符"/>
    <w:basedOn w:val="42"/>
    <w:link w:val="26"/>
    <w:semiHidden/>
    <w:qFormat/>
    <w:uiPriority w:val="99"/>
    <w:rPr>
      <w:rFonts w:asciiTheme="minorHAnsi" w:hAnsiTheme="minorHAnsi" w:eastAsiaTheme="minorEastAsia" w:cstheme="minorBidi"/>
      <w:b/>
      <w:bCs/>
      <w:sz w:val="21"/>
      <w:szCs w:val="22"/>
    </w:rPr>
  </w:style>
  <w:style w:type="character" w:customStyle="1" w:styleId="49">
    <w:name w:val="批注框文本 字符"/>
    <w:basedOn w:val="30"/>
    <w:link w:val="16"/>
    <w:semiHidden/>
    <w:qFormat/>
    <w:uiPriority w:val="99"/>
    <w:rPr>
      <w:rFonts w:asciiTheme="minorHAnsi" w:hAnsiTheme="minorHAnsi" w:eastAsiaTheme="minorEastAsia" w:cstheme="minorBidi"/>
      <w:sz w:val="18"/>
      <w:szCs w:val="18"/>
    </w:rPr>
  </w:style>
  <w:style w:type="paragraph" w:styleId="50">
    <w:name w:val="List Paragraph"/>
    <w:basedOn w:val="1"/>
    <w:qFormat/>
    <w:uiPriority w:val="34"/>
    <w:pPr>
      <w:ind w:firstLine="420" w:firstLineChars="200"/>
    </w:pPr>
  </w:style>
  <w:style w:type="character" w:customStyle="1" w:styleId="51">
    <w:name w:val="标题 字符"/>
    <w:basedOn w:val="30"/>
    <w:link w:val="25"/>
    <w:qFormat/>
    <w:uiPriority w:val="10"/>
    <w:rPr>
      <w:rFonts w:asciiTheme="majorHAnsi" w:hAnsiTheme="majorHAnsi" w:eastAsiaTheme="majorEastAsia" w:cstheme="majorBidi"/>
      <w:b/>
      <w:bCs/>
      <w:sz w:val="32"/>
      <w:szCs w:val="32"/>
    </w:rPr>
  </w:style>
  <w:style w:type="paragraph" w:customStyle="1" w:styleId="52">
    <w:name w:val="biaoge_left"/>
    <w:basedOn w:val="1"/>
    <w:qFormat/>
    <w:uiPriority w:val="0"/>
    <w:pPr>
      <w:widowControl/>
      <w:autoSpaceDE w:val="0"/>
      <w:autoSpaceDN w:val="0"/>
      <w:adjustRightInd w:val="0"/>
      <w:spacing w:before="29"/>
      <w:ind w:left="15"/>
      <w:jc w:val="left"/>
    </w:pPr>
    <w:rPr>
      <w:rFonts w:ascii="宋体" w:hAnsi="宋体" w:cs="宋体"/>
      <w:kern w:val="0"/>
      <w:szCs w:val="24"/>
    </w:rPr>
  </w:style>
  <w:style w:type="paragraph" w:customStyle="1" w:styleId="53">
    <w:name w:val="biaoge_center"/>
    <w:basedOn w:val="1"/>
    <w:qFormat/>
    <w:uiPriority w:val="0"/>
    <w:pPr>
      <w:widowControl/>
      <w:autoSpaceDE w:val="0"/>
      <w:autoSpaceDN w:val="0"/>
      <w:adjustRightInd w:val="0"/>
      <w:spacing w:before="29"/>
      <w:ind w:left="15"/>
      <w:jc w:val="center"/>
    </w:pPr>
    <w:rPr>
      <w:rFonts w:ascii="宋体" w:hAnsi="宋体" w:cs="宋体"/>
      <w:kern w:val="0"/>
      <w:szCs w:val="24"/>
    </w:rPr>
  </w:style>
  <w:style w:type="paragraph" w:customStyle="1" w:styleId="54">
    <w:name w:val="biaoge_right"/>
    <w:basedOn w:val="1"/>
    <w:qFormat/>
    <w:uiPriority w:val="0"/>
    <w:pPr>
      <w:widowControl/>
      <w:autoSpaceDE w:val="0"/>
      <w:autoSpaceDN w:val="0"/>
      <w:adjustRightInd w:val="0"/>
      <w:spacing w:before="29"/>
      <w:ind w:left="15"/>
      <w:jc w:val="right"/>
    </w:pPr>
    <w:rPr>
      <w:rFonts w:ascii="宋体" w:hAnsi="宋体" w:cs="宋体"/>
      <w:kern w:val="0"/>
      <w:szCs w:val="24"/>
    </w:rPr>
  </w:style>
  <w:style w:type="character" w:customStyle="1" w:styleId="55">
    <w:name w:val="zw"/>
    <w:basedOn w:val="30"/>
    <w:qFormat/>
    <w:uiPriority w:val="1"/>
    <w:rPr>
      <w:rFonts w:ascii="宋体" w:hAnsi="宋体" w:eastAsia="宋体"/>
      <w:color w:val="000000" w:themeColor="text1"/>
      <w:sz w:val="21"/>
      <w14:textFill>
        <w14:solidFill>
          <w14:schemeClr w14:val="tx1"/>
        </w14:solidFill>
      </w14:textFill>
    </w:rPr>
  </w:style>
  <w:style w:type="paragraph" w:customStyle="1" w:styleId="56">
    <w:name w:val="TOC Heading"/>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7">
    <w:name w:val="文档结构图 字符"/>
    <w:basedOn w:val="30"/>
    <w:link w:val="8"/>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A563A9-B7D3-4DED-9384-59C70ADE8A1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Words>
  <Characters>13</Characters>
  <Lines>1</Lines>
  <Paragraphs>1</Paragraphs>
  <TotalTime>2</TotalTime>
  <ScaleCrop>false</ScaleCrop>
  <LinksUpToDate>false</LinksUpToDate>
  <CharactersWithSpaces>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2020-03-27T02:14:00Z</dcterms:created>
  <dc:creator>daicz</dc:creator>
  <cp:lastModifiedBy>聪子</cp:lastModifiedBy>
  <dcterms:modified xsi:type="dcterms:W3CDTF">2025-12-04T00:57:07Z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