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6CD91" w14:textId="77777777" w:rsidR="00033BEA" w:rsidRDefault="00033BEA" w:rsidP="00A76644">
      <w:pPr>
        <w:pStyle w:val="TOC1"/>
        <w:tabs>
          <w:tab w:val="right" w:leader="dot" w:pos="9080"/>
        </w:tabs>
        <w:spacing w:before="72" w:after="120"/>
        <w:jc w:val="center"/>
        <w:rPr>
          <w:rFonts w:ascii="宋体" w:hAnsi="宋体"/>
          <w:b/>
          <w:bCs/>
          <w:sz w:val="24"/>
        </w:rPr>
      </w:pPr>
    </w:p>
    <w:p w14:paraId="52A90100" w14:textId="77777777" w:rsidR="00033BEA" w:rsidRDefault="00033BEA" w:rsidP="00A76644">
      <w:pPr>
        <w:pStyle w:val="TOC1"/>
        <w:tabs>
          <w:tab w:val="right" w:leader="dot" w:pos="9080"/>
        </w:tabs>
        <w:spacing w:before="72" w:after="120"/>
        <w:jc w:val="center"/>
        <w:rPr>
          <w:rFonts w:ascii="宋体" w:hAnsi="宋体"/>
          <w:b/>
          <w:bCs/>
          <w:sz w:val="24"/>
        </w:rPr>
      </w:pPr>
    </w:p>
    <w:p w14:paraId="38984839" w14:textId="77777777" w:rsidR="00396EB6" w:rsidRPr="00421707" w:rsidRDefault="00315609" w:rsidP="001663E4">
      <w:pPr>
        <w:pStyle w:val="TOC1"/>
        <w:tabs>
          <w:tab w:val="right" w:leader="dot" w:pos="9080"/>
        </w:tabs>
        <w:jc w:val="center"/>
        <w:rPr>
          <w:rFonts w:ascii="黑体" w:eastAsia="黑体" w:hAnsi="黑体"/>
          <w:b/>
          <w:bCs/>
          <w:sz w:val="36"/>
          <w:szCs w:val="36"/>
        </w:rPr>
      </w:pPr>
      <w:r w:rsidRPr="00421707">
        <w:rPr>
          <w:rFonts w:ascii="黑体" w:eastAsia="黑体" w:hAnsi="黑体" w:hint="eastAsia"/>
          <w:b/>
          <w:bCs/>
          <w:sz w:val="36"/>
          <w:szCs w:val="36"/>
        </w:rPr>
        <w:t>东方阿尔法招阳混合型证券投资基金</w:t>
      </w:r>
      <w:proofErr w:type="spellStart"/>
      <w:proofErr w:type="spellEnd"/>
    </w:p>
    <w:p w14:paraId="451789C6" w14:textId="77777777" w:rsidR="00396EB6" w:rsidRPr="00421707" w:rsidRDefault="00315609" w:rsidP="001663E4">
      <w:pPr>
        <w:pStyle w:val="TOC1"/>
        <w:tabs>
          <w:tab w:val="right" w:leader="dot" w:pos="9080"/>
        </w:tabs>
        <w:jc w:val="center"/>
        <w:rPr>
          <w:rFonts w:ascii="黑体" w:eastAsia="黑体" w:hAnsi="黑体"/>
          <w:b/>
          <w:bCs/>
          <w:sz w:val="36"/>
          <w:szCs w:val="36"/>
        </w:rPr>
      </w:pPr>
      <w:r w:rsidRPr="00421707">
        <w:rPr>
          <w:rFonts w:ascii="黑体" w:eastAsia="黑体" w:hAnsi="黑体" w:hint="eastAsia"/>
          <w:b/>
          <w:bCs/>
          <w:sz w:val="36"/>
          <w:szCs w:val="36"/>
        </w:rPr>
        <w:t>2025年第3季度报告</w:t>
      </w:r>
      <w:proofErr w:type="spellStart"/>
      <w:proofErr w:type="spellEnd"/>
    </w:p>
    <w:p w14:paraId="330D4D51" w14:textId="77777777" w:rsidR="00695511" w:rsidRPr="00A76644" w:rsidRDefault="00315609" w:rsidP="00421707">
      <w:pPr>
        <w:pStyle w:val="TOC1"/>
        <w:tabs>
          <w:tab w:val="right" w:leader="dot" w:pos="9080"/>
        </w:tabs>
        <w:spacing w:line="480" w:lineRule="auto"/>
        <w:jc w:val="center"/>
        <w:rPr>
          <w:rFonts w:ascii="宋体" w:eastAsia="宋体" w:hAnsi="宋体" w:cs="宋体"/>
          <w:b/>
          <w:bCs/>
          <w:sz w:val="24"/>
        </w:rPr>
      </w:pPr>
      <w:r>
        <w:rPr>
          <w:rFonts w:ascii="宋体" w:eastAsia="宋体" w:hAnsi="宋体" w:cs="宋体" w:hint="eastAsia"/>
          <w:b/>
          <w:bCs/>
          <w:sz w:val="24"/>
        </w:rPr>
        <w:t>2025年09月30日</w:t>
      </w:r>
      <w:proofErr w:type="spellStart"/>
      <w:proofErr w:type="spellEnd"/>
    </w:p>
    <w:p w14:paraId="205BF4D8"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02CCC2D6"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045B4059"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3BC03714"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580DD332"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256C0706"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3C562D33"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5110C3F6"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0B3A8452"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5EF2E9FF"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2807BBEC"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4BC10FDF"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488AAE42"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0B4C086D"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7EEBE708" w14:textId="77777777" w:rsidR="00514F66" w:rsidRPr="00514F66" w:rsidRDefault="00514F66" w:rsidP="00514F66">
      <w:pPr>
        <w:pStyle w:val="TOC1"/>
        <w:tabs>
          <w:tab w:val="right" w:leader="dot" w:pos="9080"/>
        </w:tabs>
        <w:spacing w:before="72" w:after="120"/>
        <w:jc w:val="center"/>
        <w:rPr>
          <w:rFonts w:ascii="宋体" w:hAnsi="宋体"/>
          <w:b/>
          <w:bCs/>
          <w:sz w:val="24"/>
        </w:rPr>
      </w:pPr>
    </w:p>
    <w:p w14:paraId="3B0B08E8" w14:textId="77777777" w:rsidR="00396EB6" w:rsidRDefault="00315609" w:rsidP="00421707">
      <w:pPr>
        <w:pStyle w:val="TOC1"/>
        <w:tabs>
          <w:tab w:val="right" w:leader="dot" w:pos="9080"/>
        </w:tabs>
        <w:spacing w:line="360" w:lineRule="auto"/>
        <w:jc w:val="center"/>
        <w:rPr>
          <w:rFonts w:ascii="宋体" w:eastAsia="宋体" w:hAnsi="宋体" w:cs="宋体"/>
          <w:b/>
          <w:bCs/>
          <w:sz w:val="24"/>
        </w:rPr>
      </w:pPr>
      <w:r>
        <w:rPr>
          <w:rFonts w:ascii="宋体" w:eastAsia="宋体" w:hAnsi="宋体" w:cs="宋体" w:hint="eastAsia"/>
          <w:b/>
          <w:bCs/>
          <w:sz w:val="24"/>
        </w:rPr>
        <w:t>基金管理人:</w:t>
      </w:r>
      <w:proofErr w:type="spellStart"/>
      <w:proofErr w:type="spellEnd"/>
      <w:r>
        <w:rPr>
          <w:rFonts w:ascii="宋体" w:hAnsi="宋体" w:cs="宋体" w:eastAsia="宋体"/>
          <w:b w:val="true"/>
          <w:color w:val=""/>
          <w:sz w:val="24"/>
          <w:u w:val="none"/>
        </w:rPr>
        <w:t>东方阿尔法基金管理有限公司</w:t>
      </w:r>
    </w:p>
    <w:p w14:paraId="31616E72" w14:textId="77777777" w:rsidR="00396EB6" w:rsidRDefault="00315609" w:rsidP="00421707">
      <w:pPr>
        <w:pStyle w:val="TOC1"/>
        <w:tabs>
          <w:tab w:val="right" w:leader="dot" w:pos="9080"/>
        </w:tabs>
        <w:spacing w:line="360" w:lineRule="auto"/>
        <w:jc w:val="center"/>
        <w:rPr>
          <w:rFonts w:ascii="宋体" w:eastAsia="宋体" w:hAnsi="宋体" w:cs="宋体"/>
          <w:b/>
          <w:bCs/>
          <w:sz w:val="24"/>
        </w:rPr>
      </w:pPr>
      <w:r>
        <w:rPr>
          <w:rFonts w:ascii="宋体" w:eastAsia="宋体" w:hAnsi="宋体" w:cs="宋体" w:hint="eastAsia"/>
          <w:b/>
          <w:bCs/>
          <w:sz w:val="24"/>
        </w:rPr>
        <w:t>基金托管人:</w:t>
      </w:r>
      <w:proofErr w:type="spellStart"/>
      <w:proofErr w:type="spellEnd"/>
      <w:r>
        <w:rPr>
          <w:rFonts w:ascii="宋体" w:hAnsi="宋体" w:cs="宋体" w:eastAsia="宋体"/>
          <w:b w:val="true"/>
          <w:color w:val=""/>
          <w:sz w:val="24"/>
          <w:u w:val="none"/>
        </w:rPr>
        <w:t>招商银行股份有限公司</w:t>
      </w:r>
    </w:p>
    <w:p w14:paraId="01D6CDCE" w14:textId="77777777" w:rsidR="00396EB6" w:rsidRDefault="00315609" w:rsidP="00421707">
      <w:pPr>
        <w:pStyle w:val="TOC1"/>
        <w:tabs>
          <w:tab w:val="right" w:leader="dot" w:pos="9080"/>
        </w:tabs>
        <w:spacing w:line="360" w:lineRule="auto"/>
        <w:jc w:val="center"/>
        <w:rPr>
          <w:rFonts w:ascii="宋体" w:eastAsia="宋体" w:hAnsi="宋体" w:cs="宋体"/>
          <w:b/>
          <w:bCs/>
          <w:sz w:val="24"/>
        </w:rPr>
      </w:pPr>
      <w:r>
        <w:rPr>
          <w:rFonts w:ascii="宋体" w:eastAsia="宋体" w:hAnsi="宋体" w:cs="宋体" w:hint="eastAsia"/>
          <w:b/>
          <w:bCs/>
          <w:sz w:val="24"/>
        </w:rPr>
        <w:t>报告送出日期:</w:t>
      </w:r>
      <w:proofErr w:type="spellStart"/>
      <w:proofErr w:type="spellEnd"/>
      <w:r>
        <w:rPr>
          <w:rFonts w:ascii="宋体" w:hAnsi="宋体" w:cs="宋体" w:eastAsia="宋体"/>
          <w:b w:val="true"/>
          <w:color w:val=""/>
          <w:sz w:val="24"/>
          <w:u w:val="none"/>
        </w:rPr>
        <w:t>2025年10月25日</w:t>
      </w:r>
    </w:p>
    <w:p w14:paraId="28A208C4" w14:textId="77777777" w:rsidR="00396EB6" w:rsidRDefault="00315609" w:rsidP="00A76644">
      <w:pPr>
        <w:jc w:val="center"/>
      </w:pPr>
      <w:r>
        <w:br w:type="page"/>
      </w:r>
    </w:p>
    <w:p w14:paraId="6B371222" w14:textId="77777777" w:rsidR="00C370BD" w:rsidRPr="00C370BD" w:rsidRDefault="00C370BD" w:rsidP="00801225">
      <w:pPr>
        <w:pStyle w:val="1"/>
        <w:spacing w:line="576" w:lineRule="auto"/>
        <w:jc w:val="center"/>
        <w:rPr>
          <w:rFonts w:ascii="宋体" w:eastAsia="宋体" w:hAnsi="宋体"/>
          <w:sz w:val="24"/>
          <w:szCs w:val="24"/>
        </w:rPr>
      </w:pPr>
      <w:bookmarkStart w:id="0" w:name="_Toc73379713"/>
      <w:r w:rsidRPr="00C370BD">
        <w:rPr>
          <w:rFonts w:ascii="宋体" w:eastAsia="宋体" w:hAnsi="宋体" w:hint="eastAsia"/>
          <w:bCs w:val="0"/>
          <w:sz w:val="24"/>
          <w:szCs w:val="24"/>
        </w:rPr>
        <w:lastRenderedPageBreak/>
        <w:t>§1 重要提示</w:t>
      </w:r>
      <w:bookmarkEnd w:id="0"/>
    </w:p>
    <w:p w14:paraId="7F352D6E" w14:textId="35951F40" w:rsidR="00F07C93" w:rsidRDefault="00F07C93" w:rsidP="00E67AEA">
      <w:pPr>
        <w:widowControl/>
        <w:rPr>
          <w:rFonts w:ascii="宋体" w:eastAsia="宋体" w:hAnsi="宋体"/>
        </w:rPr>
      </w:pPr>
      <w:r>
        <w:t xml:space="preserve">    基金管理人的董事会及董事保证本报告所载资料不存在虚假记载、误导性陈述或重大遗漏，并对其内容的真实性、准确性和完整性承担个别及连带责任。</w:t>
        <w:cr/>
        <w:t xml:space="preserve">    基金托管人招商银行股份有限公司根据本基金合同规定，于2025年10月24日复核了本报告中的财务指标、净值表现和投资组合报告等内容，保证复核内容不存在虚假记载、误导性陈述或者重大遗漏。</w:t>
        <w:cr/>
        <w:t xml:space="preserve">    基金管理人承诺以诚实信用、勤勉尽责的原则管理和运用基金资产，但不保证基金一定盈利。</w:t>
        <w:cr/>
        <w:t xml:space="preserve">    基金的过往业绩并不代表其未来表现。投资有风险，投资者在做出投资决策前应仔细阅读本基金的招募说明书。</w:t>
        <w:cr/>
        <w:t xml:space="preserve">    本报告中财务资料未经审计。</w:t>
        <w:cr/>
        <w:t xml:space="preserve">    本报告期自2025年07月01日起至2025年09月30日止。</w:t>
      </w:r>
      <w:proofErr w:type="spellStart"/>
      <w:proofErr w:type="spellEnd"/>
    </w:p>
    <w:p/>
    <w:p>
      <w:pPr>
        <w:pStyle w:val="1"/>
        <w:jc w:val="center"/>
      </w:pPr>
      <w:r>
        <w:rPr>
          <w:rFonts w:ascii="宋体" w:hAnsi="宋体" w:cs="宋体" w:eastAsia="宋体"/>
        </w:rPr>
        <w:t>§2 基金产品概况</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1923"/>
            <w:vAlign w:val="center"/>
          </w:tcPr>
          <w:p>
            <w:pPr>
              <w:spacing w:line="240" w:lineRule="auto"/>
              <w:jc w:val="left"/>
            </w:pPr>
            <w:r>
              <w:rPr>
                <w:rFonts w:ascii="宋体" w:hAnsi="宋体" w:cs="宋体" w:eastAsia="宋体"/>
                <w:b w:val="false"/>
              </w:rPr>
              <w:t>基金简称</w:t>
            </w:r>
          </w:p>
        </w:tc>
        <w:tc>
          <w:tcPr>
            <w:tcW w:type="pct" w:w="3077"/>
            <w:hMerge w:val="restart"/>
            <w:vAlign w:val="center"/>
          </w:tcPr>
          <w:p>
            <w:pPr>
              <w:spacing w:line="240" w:lineRule="auto"/>
              <w:jc w:val="left"/>
            </w:pPr>
            <w:r>
              <w:rPr>
                <w:rFonts w:ascii="宋体" w:hAnsi="宋体" w:cs="宋体" w:eastAsia="宋体"/>
                <w:b w:val="false"/>
              </w:rPr>
              <w:t>东方阿尔法招阳混合</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基金主代码</w:t>
            </w:r>
          </w:p>
        </w:tc>
        <w:tc>
          <w:tcPr>
            <w:tcW/>
            <w:hMerge w:val="restart"/>
            <w:vAlign w:val="center"/>
          </w:tcPr>
          <w:p>
            <w:pPr>
              <w:spacing w:line="240" w:lineRule="auto"/>
              <w:jc w:val="left"/>
            </w:pPr>
            <w:r>
              <w:rPr>
                <w:rFonts w:ascii="宋体" w:hAnsi="宋体" w:cs="宋体" w:eastAsia="宋体"/>
                <w:b w:val="false"/>
              </w:rPr>
              <w:t>011184</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基金运作方式</w:t>
            </w:r>
          </w:p>
        </w:tc>
        <w:tc>
          <w:tcPr>
            <w:tcW/>
            <w:hMerge w:val="restart"/>
            <w:vAlign w:val="center"/>
          </w:tcPr>
          <w:p>
            <w:pPr>
              <w:spacing w:line="240" w:lineRule="auto"/>
              <w:jc w:val="left"/>
            </w:pPr>
            <w:r>
              <w:rPr>
                <w:rFonts w:ascii="宋体" w:hAnsi="宋体" w:cs="宋体" w:eastAsia="宋体"/>
                <w:b w:val="false"/>
              </w:rPr>
              <w:t>契约型开放式</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基金合同生效日</w:t>
            </w:r>
          </w:p>
        </w:tc>
        <w:tc>
          <w:tcPr>
            <w:tcW/>
            <w:hMerge w:val="restart"/>
            <w:vAlign w:val="center"/>
          </w:tcPr>
          <w:p>
            <w:pPr>
              <w:spacing w:line="240" w:lineRule="auto"/>
              <w:jc w:val="left"/>
            </w:pPr>
            <w:r>
              <w:rPr>
                <w:rFonts w:ascii="宋体" w:hAnsi="宋体" w:cs="宋体" w:eastAsia="宋体"/>
                <w:b w:val="false"/>
              </w:rPr>
              <w:t>2021年03月17日</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报告期末基金份额总额</w:t>
            </w:r>
          </w:p>
        </w:tc>
        <w:tc>
          <w:tcPr>
            <w:tcW/>
            <w:hMerge w:val="restart"/>
            <w:vAlign w:val="center"/>
          </w:tcPr>
          <w:p>
            <w:pPr>
              <w:spacing w:line="240" w:lineRule="auto"/>
              <w:jc w:val="left"/>
            </w:pPr>
            <w:r>
              <w:rPr>
                <w:rFonts w:ascii="宋体" w:hAnsi="宋体" w:cs="宋体" w:eastAsia="宋体"/>
                <w:b w:val="false"/>
              </w:rPr>
              <w:t>771,190,167.68份</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投资目标</w:t>
            </w:r>
          </w:p>
        </w:tc>
        <w:tc>
          <w:tcPr>
            <w:tcW w:type="pct" w:w="2592"/>
            <w:hMerge w:val="restart"/>
            <w:vAlign w:val="center"/>
          </w:tcPr>
          <w:p>
            <w:pPr>
              <w:spacing w:line="240" w:lineRule="auto"/>
              <w:jc w:val="left"/>
            </w:pPr>
            <w:r>
              <w:rPr>
                <w:rFonts w:ascii="宋体" w:hAnsi="宋体" w:cs="宋体" w:eastAsia="宋体"/>
                <w:b w:val="false"/>
              </w:rPr>
              <w:t>在严格控制风险的基础之上，通过深入研究、优选个股、主动的投资管理方式力求实现组合资产的稳健增值。</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投资策略</w:t>
            </w:r>
          </w:p>
        </w:tc>
        <w:tc>
          <w:tcPr>
            <w:tcW/>
            <w:hMerge w:val="restart"/>
            <w:vAlign w:val="center"/>
          </w:tcPr>
          <w:p>
            <w:pPr>
              <w:spacing w:line="240" w:lineRule="auto"/>
              <w:jc w:val="left"/>
            </w:pPr>
            <w:r>
              <w:rPr>
                <w:rFonts w:ascii="宋体" w:hAnsi="宋体" w:cs="宋体" w:eastAsia="宋体"/>
                <w:b w:val="false"/>
              </w:rPr>
              <w:t>本基金的投资策略主要有以下9个方面内容：</w:t>
              <w:br/>
            </w:r>
            <w:r>
              <w:rPr>
                <w:rFonts w:ascii="宋体" w:hAnsi="宋体" w:cs="宋体" w:eastAsia="宋体"/>
                <w:b w:val="false"/>
              </w:rPr>
              <w:t>1、大类资产配置策略</w:t>
              <w:br/>
            </w:r>
            <w:r>
              <w:rPr>
                <w:rFonts w:ascii="宋体" w:hAnsi="宋体" w:cs="宋体" w:eastAsia="宋体"/>
                <w:b w:val="false"/>
              </w:rPr>
              <w:t>根据国内外宏观经济情况、国内外证券市场估值水平阶段性不断调整权益类资产和其他资产之间的大类资产配置比例。</w:t>
              <w:br/>
            </w:r>
            <w:r>
              <w:rPr>
                <w:rFonts w:ascii="宋体" w:hAnsi="宋体" w:cs="宋体" w:eastAsia="宋体"/>
                <w:b w:val="false"/>
              </w:rPr>
              <w:t>2、个股优选策略</w:t>
              <w:br/>
            </w:r>
            <w:r>
              <w:rPr>
                <w:rFonts w:ascii="宋体" w:hAnsi="宋体" w:cs="宋体" w:eastAsia="宋体"/>
                <w:b w:val="false"/>
              </w:rPr>
              <w:t>采用定量分析与定性分析相结合的方式对上市公司进行分析，建立备选股票池，并以备选股票池成份股未来两年的PE衡量动态性价比作为选择其进入投资组合的重要依据。</w:t>
              <w:br/>
            </w:r>
            <w:r>
              <w:rPr>
                <w:rFonts w:ascii="宋体" w:hAnsi="宋体" w:cs="宋体" w:eastAsia="宋体"/>
                <w:b w:val="false"/>
              </w:rPr>
              <w:t>3、港股投资策略</w:t>
              <w:br/>
            </w:r>
            <w:r>
              <w:rPr>
                <w:rFonts w:ascii="宋体" w:hAnsi="宋体" w:cs="宋体" w:eastAsia="宋体"/>
                <w:b w:val="false"/>
              </w:rPr>
              <w:t>重点关注A股稀缺性行业个股、A股缺乏投资标的行业、具有持续领先优势或核心竞争力的企业、符合内地政策和投资逻辑的主题性行业个股以及与A股同类公司相比具有估值优势的公司。</w:t>
              <w:br/>
            </w:r>
            <w:r>
              <w:rPr>
                <w:rFonts w:ascii="宋体" w:hAnsi="宋体" w:cs="宋体" w:eastAsia="宋体"/>
                <w:b w:val="false"/>
              </w:rPr>
              <w:t>4、债券类资产投资策略</w:t>
              <w:br/>
            </w:r>
            <w:r>
              <w:rPr>
                <w:rFonts w:ascii="宋体" w:hAnsi="宋体" w:cs="宋体" w:eastAsia="宋体"/>
                <w:b w:val="false"/>
              </w:rPr>
              <w:t>本基金的债券投资将采取较为积极的策略，通过利率预测分析、收益率曲线变动分析、债券信用分析、收益率利差分析等，研判各类属固定收益类资产的风险趋势与收益预期，精选个券进行投资。</w:t>
              <w:br/>
            </w:r>
            <w:r>
              <w:rPr>
                <w:rFonts w:ascii="宋体" w:hAnsi="宋体" w:cs="宋体" w:eastAsia="宋体"/>
                <w:b w:val="false"/>
              </w:rPr>
              <w:t>5、存托凭证投资策略</w:t>
              <w:br/>
            </w:r>
            <w:r>
              <w:rPr>
                <w:rFonts w:ascii="宋体" w:hAnsi="宋体" w:cs="宋体" w:eastAsia="宋体"/>
                <w:b w:val="false"/>
              </w:rPr>
              <w:t>本基金可投资存托凭证，本基金将在深入研究的基础上，通过定性分析和定量分析相结合的方式，选择投资价值高的存托凭证进行投资。</w:t>
              <w:br/>
            </w:r>
            <w:r>
              <w:rPr>
                <w:rFonts w:ascii="宋体" w:hAnsi="宋体" w:cs="宋体" w:eastAsia="宋体"/>
                <w:b w:val="false"/>
              </w:rPr>
              <w:t>6、股指期货投资策略</w:t>
              <w:br/>
            </w:r>
            <w:r>
              <w:rPr>
                <w:rFonts w:ascii="宋体" w:hAnsi="宋体" w:cs="宋体" w:eastAsia="宋体"/>
                <w:b w:val="false"/>
              </w:rPr>
              <w:t>以投资组合避险和有效管理为目的，通过套期保值策略，对冲系统性风险，应对组合构建与调整中的流动性风险，力求风险收益的优化。</w:t>
              <w:br/>
            </w:r>
            <w:r>
              <w:rPr>
                <w:rFonts w:ascii="宋体" w:hAnsi="宋体" w:cs="宋体" w:eastAsia="宋体"/>
                <w:b w:val="false"/>
              </w:rPr>
              <w:t>7、融资业务的投资策略</w:t>
              <w:br/>
            </w:r>
            <w:r>
              <w:rPr>
                <w:rFonts w:ascii="宋体" w:hAnsi="宋体" w:cs="宋体" w:eastAsia="宋体"/>
                <w:b w:val="false"/>
              </w:rPr>
              <w:t>综合考虑融资成本、保证金比例、冲抵保证金证券折算率、信用资质等条选择合适的交易对手方。在保障基金投资组合充足流动性以及有效控制融资杠杆风险的前提下，确定融资比例。</w:t>
              <w:br/>
            </w:r>
            <w:r>
              <w:rPr>
                <w:rFonts w:ascii="宋体" w:hAnsi="宋体" w:cs="宋体" w:eastAsia="宋体"/>
                <w:b w:val="false"/>
              </w:rPr>
              <w:t>8、国债期货的投资策略</w:t>
              <w:br/>
            </w:r>
            <w:r>
              <w:rPr>
                <w:rFonts w:ascii="宋体" w:hAnsi="宋体" w:cs="宋体" w:eastAsia="宋体"/>
                <w:b w:val="false"/>
              </w:rPr>
              <w:t>结合对宏观经济形势和政策趋势的判断、对债券市场进行定性和定量分析，构建量化分析体系，在最大限度保证基金资产安全的基础上，力求实现所资产的长期稳定增值。</w:t>
              <w:br/>
            </w:r>
            <w:r>
              <w:rPr>
                <w:rFonts w:ascii="宋体" w:hAnsi="宋体" w:cs="宋体" w:eastAsia="宋体"/>
                <w:b w:val="false"/>
              </w:rPr>
              <w:t>9、资产支持证券投资策略</w:t>
              <w:br/>
            </w:r>
            <w:r>
              <w:rPr>
                <w:rFonts w:ascii="宋体" w:hAnsi="宋体" w:cs="宋体" w:eastAsia="宋体"/>
                <w:b w:val="false"/>
              </w:rPr>
              <w:t>通过对宏观经济、提前偿还率、资产池结构、行业景气变化、标的证券发行条款等因素的研究，预测资产池未来现金流变化，结合信用研究和流动性管理，选择风险调整后收益高的品种进行投资，以期获得长期稳定收益。</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业绩比较基准</w:t>
            </w:r>
          </w:p>
        </w:tc>
        <w:tc>
          <w:tcPr>
            <w:tcW/>
            <w:hMerge w:val="restart"/>
            <w:vAlign w:val="center"/>
          </w:tcPr>
          <w:p>
            <w:pPr>
              <w:spacing w:line="240" w:lineRule="auto"/>
              <w:jc w:val="left"/>
            </w:pPr>
            <w:r>
              <w:rPr>
                <w:rFonts w:ascii="宋体" w:hAnsi="宋体" w:cs="宋体" w:eastAsia="宋体"/>
                <w:b w:val="false"/>
              </w:rPr>
              <w:t>中证800指数收益率×80%+中证综合债券指数收益率×10%+恒生指数收益率×10%</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风险收益特征</w:t>
            </w:r>
          </w:p>
        </w:tc>
        <w:tc>
          <w:tcPr>
            <w:tcW w:type="pct" w:w="2592"/>
            <w:hMerge w:val="restart"/>
            <w:vAlign w:val="center"/>
          </w:tcPr>
          <w:p>
            <w:pPr>
              <w:spacing w:line="240" w:lineRule="auto"/>
              <w:jc w:val="left"/>
            </w:pPr>
            <w:r>
              <w:rPr>
                <w:rFonts w:ascii="宋体" w:hAnsi="宋体" w:cs="宋体" w:eastAsia="宋体"/>
                <w:b w:val="false"/>
              </w:rPr>
              <w:t>本基金为混合型基金，其预期风险和预期收益高于债券型基金、货币市场基金。本基金如果投资港股通标的股票，需承担汇率风险以及境外市场的风险。</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基金管理人</w:t>
            </w:r>
          </w:p>
        </w:tc>
        <w:tc>
          <w:tcPr>
            <w:tcW/>
            <w:hMerge w:val="restart"/>
            <w:vAlign w:val="center"/>
          </w:tcPr>
          <w:p>
            <w:pPr>
              <w:spacing w:line="240" w:lineRule="auto"/>
              <w:jc w:val="left"/>
            </w:pPr>
            <w:r>
              <w:rPr>
                <w:rFonts w:ascii="宋体" w:hAnsi="宋体" w:cs="宋体" w:eastAsia="宋体"/>
                <w:b w:val="false"/>
              </w:rPr>
              <w:t>东方阿尔法基金管理有限公司</w:t>
            </w:r>
          </w:p>
        </w:tc>
        <w:tc>
          <w:tcPr>
            <w:hMerge w:val="continue"/>
          </w:tcPr>
          <w:p/>
        </w:tc>
        <w:tc>
          <w:tcPr>
            <w:hMerge w:val="continue"/>
          </w:tcPr>
          <w:p/>
        </w:tc>
      </w:tr>
      <w:tr>
        <w:tc>
          <w:tcPr>
            <w:tcW w:type="pct" w:w="1923"/>
            <w:vAlign w:val="center"/>
          </w:tcPr>
          <w:p>
            <w:pPr>
              <w:spacing w:line="240" w:lineRule="auto"/>
              <w:jc w:val="left"/>
            </w:pPr>
            <w:r>
              <w:rPr>
                <w:rFonts w:ascii="宋体" w:hAnsi="宋体" w:cs="宋体" w:eastAsia="宋体"/>
                <w:b w:val="false"/>
              </w:rPr>
              <w:t>基金托管人</w:t>
            </w:r>
          </w:p>
        </w:tc>
        <w:tc>
          <w:tcPr>
            <w:tcW/>
            <w:hMerge w:val="restart"/>
            <w:vAlign w:val="center"/>
          </w:tcPr>
          <w:p>
            <w:pPr>
              <w:spacing w:line="240" w:lineRule="auto"/>
              <w:jc w:val="left"/>
            </w:pPr>
            <w:r>
              <w:rPr>
                <w:rFonts w:ascii="宋体" w:hAnsi="宋体" w:cs="宋体" w:eastAsia="宋体"/>
                <w:b w:val="false"/>
              </w:rPr>
              <w:t>招商银行股份有限公司</w:t>
            </w:r>
          </w:p>
        </w:tc>
        <w:tc>
          <w:tcPr>
            <w:hMerge w:val="continue"/>
          </w:tcPr>
          <w:p/>
        </w:tc>
        <w:tc>
          <w:tcPr>
            <w:hMerge w:val="continue"/>
          </w:tcPr>
          <w:p/>
        </w:tc>
      </w:tr>
      <w:tr>
        <w:tc>
          <w:tcPr>
            <w:tcW/>
            <w:vAlign w:val="center"/>
          </w:tcPr>
          <w:p>
            <w:pPr>
              <w:spacing w:line="240" w:lineRule="auto"/>
              <w:jc w:val="left"/>
            </w:pPr>
            <w:r>
              <w:rPr>
                <w:rFonts w:ascii="宋体" w:hAnsi="宋体" w:cs="宋体" w:eastAsia="宋体"/>
                <w:b w:val="false"/>
              </w:rPr>
              <w:t>下属分级基金的基金简称</w:t>
            </w:r>
          </w:p>
        </w:tc>
        <w:tc>
          <w:tcPr>
            <w:tcW w:type="pct" w:w="1000"/>
            <w:vAlign w:val="center"/>
          </w:tcPr>
          <w:p>
            <w:pPr>
              <w:spacing w:line="240" w:lineRule="auto"/>
              <w:jc w:val="left"/>
            </w:pPr>
            <w:r>
              <w:rPr>
                <w:rFonts w:ascii="宋体" w:hAnsi="宋体" w:cs="宋体" w:eastAsia="宋体"/>
                <w:b w:val="false"/>
              </w:rPr>
              <w:t>东方阿尔法招阳混合A</w:t>
            </w:r>
          </w:p>
        </w:tc>
        <w:tc>
          <w:tcPr>
            <w:tcW w:type="pct" w:w="1000"/>
            <w:vAlign w:val="center"/>
          </w:tcPr>
          <w:p>
            <w:pPr>
              <w:spacing w:line="240" w:lineRule="auto"/>
              <w:jc w:val="left"/>
            </w:pPr>
            <w:r>
              <w:rPr>
                <w:rFonts w:ascii="宋体" w:hAnsi="宋体" w:cs="宋体" w:eastAsia="宋体"/>
                <w:b w:val="false"/>
              </w:rPr>
              <w:t>东方阿尔法招阳混合C</w:t>
            </w:r>
          </w:p>
        </w:tc>
        <w:tc>
          <w:tcPr>
            <w:tcW w:type="pct" w:w="1000"/>
            <w:vAlign w:val="center"/>
          </w:tcPr>
          <w:p>
            <w:pPr>
              <w:spacing w:line="240" w:lineRule="auto"/>
              <w:jc w:val="left"/>
            </w:pPr>
            <w:r>
              <w:rPr>
                <w:rFonts w:ascii="宋体" w:hAnsi="宋体" w:cs="宋体" w:eastAsia="宋体"/>
                <w:b w:val="false"/>
              </w:rPr>
              <w:t>东方阿尔法招阳混合E</w:t>
            </w:r>
          </w:p>
        </w:tc>
      </w:tr>
      <w:tr>
        <w:tc>
          <w:tcPr>
            <w:tcW/>
            <w:vAlign w:val="center"/>
          </w:tcPr>
          <w:p>
            <w:pPr>
              <w:spacing w:line="240" w:lineRule="auto"/>
              <w:jc w:val="left"/>
            </w:pPr>
            <w:r>
              <w:rPr>
                <w:rFonts w:ascii="宋体" w:hAnsi="宋体" w:cs="宋体" w:eastAsia="宋体"/>
                <w:b w:val="false"/>
              </w:rPr>
              <w:t>下属分级基金的交易代码</w:t>
            </w:r>
          </w:p>
        </w:tc>
        <w:tc>
          <w:tcPr>
            <w:tcW w:type="pct" w:w="1000"/>
            <w:vAlign w:val="center"/>
          </w:tcPr>
          <w:p>
            <w:pPr>
              <w:spacing w:line="240" w:lineRule="auto"/>
              <w:jc w:val="left"/>
            </w:pPr>
            <w:r>
              <w:rPr>
                <w:rFonts w:ascii="宋体" w:hAnsi="宋体" w:cs="宋体" w:eastAsia="宋体"/>
                <w:b w:val="false"/>
              </w:rPr>
              <w:t>011184</w:t>
            </w:r>
          </w:p>
        </w:tc>
        <w:tc>
          <w:tcPr>
            <w:tcW w:type="pct" w:w="1000"/>
            <w:vAlign w:val="center"/>
          </w:tcPr>
          <w:p>
            <w:pPr>
              <w:spacing w:line="240" w:lineRule="auto"/>
              <w:jc w:val="left"/>
            </w:pPr>
            <w:r>
              <w:rPr>
                <w:rFonts w:ascii="宋体" w:hAnsi="宋体" w:cs="宋体" w:eastAsia="宋体"/>
                <w:b w:val="false"/>
              </w:rPr>
              <w:t>011185</w:t>
            </w:r>
          </w:p>
        </w:tc>
        <w:tc>
          <w:tcPr>
            <w:tcW w:type="pct" w:w="1000"/>
            <w:vAlign w:val="center"/>
          </w:tcPr>
          <w:p>
            <w:pPr>
              <w:spacing w:line="240" w:lineRule="auto"/>
              <w:jc w:val="left"/>
            </w:pPr>
            <w:r>
              <w:rPr>
                <w:rFonts w:ascii="宋体" w:hAnsi="宋体" w:cs="宋体" w:eastAsia="宋体"/>
                <w:b w:val="false"/>
              </w:rPr>
              <w:t>017889</w:t>
            </w:r>
          </w:p>
        </w:tc>
      </w:tr>
      <w:tr>
        <w:tc>
          <w:tcPr>
            <w:tcW/>
            <w:vAlign w:val="center"/>
          </w:tcPr>
          <w:p>
            <w:pPr>
              <w:spacing w:line="240" w:lineRule="auto"/>
              <w:jc w:val="left"/>
            </w:pPr>
            <w:r>
              <w:rPr>
                <w:rFonts w:ascii="宋体" w:hAnsi="宋体" w:cs="宋体" w:eastAsia="宋体"/>
                <w:b w:val="false"/>
              </w:rPr>
              <w:t>报告期末下属分级基金的份额总额</w:t>
            </w:r>
          </w:p>
        </w:tc>
        <w:tc>
          <w:tcPr>
            <w:tcW w:type="pct" w:w="1000"/>
            <w:vAlign w:val="center"/>
          </w:tcPr>
          <w:p>
            <w:pPr>
              <w:spacing w:line="240" w:lineRule="auto"/>
              <w:jc w:val="left"/>
            </w:pPr>
            <w:r>
              <w:rPr>
                <w:rFonts w:ascii="宋体" w:hAnsi="宋体" w:cs="宋体" w:eastAsia="宋体"/>
                <w:b w:val="false"/>
              </w:rPr>
              <w:t>584,957,816.69份</w:t>
            </w:r>
          </w:p>
        </w:tc>
        <w:tc>
          <w:tcPr>
            <w:tcW w:type="pct" w:w="1000"/>
            <w:vAlign w:val="center"/>
          </w:tcPr>
          <w:p>
            <w:pPr>
              <w:spacing w:line="240" w:lineRule="auto"/>
              <w:jc w:val="left"/>
            </w:pPr>
            <w:r>
              <w:rPr>
                <w:rFonts w:ascii="宋体" w:hAnsi="宋体" w:cs="宋体" w:eastAsia="宋体"/>
                <w:b w:val="false"/>
              </w:rPr>
              <w:t>8,537,610.67份</w:t>
            </w:r>
          </w:p>
        </w:tc>
        <w:tc>
          <w:tcPr>
            <w:tcW w:type="pct" w:w="1000"/>
            <w:vAlign w:val="center"/>
          </w:tcPr>
          <w:p>
            <w:pPr>
              <w:spacing w:line="240" w:lineRule="auto"/>
              <w:jc w:val="left"/>
            </w:pPr>
            <w:r>
              <w:rPr>
                <w:rFonts w:ascii="宋体" w:hAnsi="宋体" w:cs="宋体" w:eastAsia="宋体"/>
                <w:b w:val="false"/>
              </w:rPr>
              <w:t>177,694,740.32份</w:t>
            </w:r>
          </w:p>
        </w:tc>
      </w:tr>
    </w:tbl>
    <w:p>
      <w:pPr>
        <w:pStyle w:val="1"/>
        <w:jc w:val="center"/>
      </w:pPr>
      <w:r>
        <w:rPr>
          <w:rFonts w:ascii="宋体" w:hAnsi="宋体" w:cs="宋体" w:eastAsia="宋体"/>
        </w:rPr>
        <w:t>§3 主要财务指标和基金净值表现</w:t>
      </w:r>
    </w:p>
    <w:p>
      <w:pPr>
        <w:pStyle w:val="2"/>
        <w:jc w:val="left"/>
      </w:pPr>
      <w:r>
        <w:rPr>
          <w:rFonts w:ascii="宋体" w:hAnsi="宋体" w:cs="宋体" w:eastAsia="宋体"/>
        </w:rPr>
        <w:t>3.1 主要财务指标</w:t>
      </w:r>
    </w:p>
    <w:p>
      <w:pPr>
        <w:jc w:val="right"/>
      </w:pPr>
      <w:r>
        <w:rPr>
          <w:rFonts w:ascii="宋体" w:hAnsi="宋体" w:cs="宋体" w:eastAsia="宋体"/>
          <w:b w:val="false"/>
        </w:rPr>
        <w:t>单位：人民币元</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1923"/>
            <w:vMerge w:val="restart"/>
            <w:vAlign w:val="center"/>
          </w:tcPr>
          <w:tcPr>
            <w:shd w:fill="d9d9d9"/>
          </w:tcPr>
          <w:p>
            <w:pPr>
              <w:spacing w:line="240" w:lineRule="auto"/>
              <w:jc w:val="center"/>
            </w:pPr>
            <w:r>
              <w:rPr>
                <w:rFonts w:ascii="宋体" w:hAnsi="宋体" w:cs="宋体" w:eastAsia="宋体"/>
                <w:b w:val="true"/>
              </w:rPr>
              <w:t>主要财务指标</w:t>
            </w:r>
          </w:p>
        </w:tc>
        <w:tc>
          <w:tcPr>
            <w:tcW w:type="pct" w:w="3077"/>
            <w:hMerge w:val="restart"/>
            <w:vAlign w:val="center"/>
          </w:tcPr>
          <w:tcPr>
            <w:shd w:fill="d9d9d9"/>
          </w:tcPr>
          <w:p>
            <w:pPr>
              <w:spacing w:line="240" w:lineRule="auto"/>
              <w:jc w:val="center"/>
            </w:pPr>
            <w:r>
              <w:rPr>
                <w:rFonts w:ascii="宋体" w:hAnsi="宋体" w:cs="宋体" w:eastAsia="宋体"/>
                <w:b w:val="false"/>
              </w:rPr>
              <w:t>报告期（2025年07月01日-2025年09月30日）</w:t>
            </w:r>
          </w:p>
        </w:tc>
        <w:tc>
          <w:tcPr>
            <w:hMerge w:val="continue"/>
          </w:tcPr>
          <w:p/>
        </w:tc>
        <w:tc>
          <w:tcPr>
            <w:hMerge w:val="continue"/>
          </w:tcPr>
          <w:p/>
        </w:tc>
      </w:tr>
      <w:tr>
        <w:tc>
          <w:tcPr>
            <w:vMerge w:val="continue"/>
          </w:tcPr>
          <w:p/>
        </w:tc>
        <w:tc>
          <w:tcPr>
            <w:tcW w:type="pct" w:w="1000"/>
            <w:vAlign w:val="center"/>
          </w:tcPr>
          <w:tcPr>
            <w:shd w:fill="d9d9d9"/>
          </w:tcPr>
          <w:p>
            <w:pPr>
              <w:spacing w:line="240" w:lineRule="auto"/>
              <w:jc w:val="center"/>
            </w:pPr>
            <w:r>
              <w:rPr>
                <w:rFonts w:ascii="宋体" w:hAnsi="宋体" w:cs="宋体" w:eastAsia="宋体"/>
                <w:b w:val="false"/>
              </w:rPr>
              <w:t>东方阿尔法招阳混合A</w:t>
            </w:r>
          </w:p>
        </w:tc>
        <w:tc>
          <w:tcPr>
            <w:tcW w:type="pct" w:w="1000"/>
            <w:vAlign w:val="center"/>
          </w:tcPr>
          <w:tcPr>
            <w:shd w:fill="d9d9d9"/>
          </w:tcPr>
          <w:p>
            <w:pPr>
              <w:spacing w:line="240" w:lineRule="auto"/>
              <w:jc w:val="center"/>
            </w:pPr>
            <w:r>
              <w:rPr>
                <w:rFonts w:ascii="宋体" w:hAnsi="宋体" w:cs="宋体" w:eastAsia="宋体"/>
                <w:b w:val="false"/>
              </w:rPr>
              <w:t>东方阿尔法招阳混合C</w:t>
            </w:r>
          </w:p>
        </w:tc>
        <w:tc>
          <w:tcPr>
            <w:tcW w:type="pct" w:w="1000"/>
            <w:vAlign w:val="center"/>
          </w:tcPr>
          <w:tcPr>
            <w:shd w:fill="d9d9d9"/>
          </w:tcPr>
          <w:p>
            <w:pPr>
              <w:spacing w:line="240" w:lineRule="auto"/>
              <w:jc w:val="center"/>
            </w:pPr>
            <w:r>
              <w:rPr>
                <w:rFonts w:ascii="宋体" w:hAnsi="宋体" w:cs="宋体" w:eastAsia="宋体"/>
                <w:b w:val="false"/>
              </w:rPr>
              <w:t>东方阿尔法招阳混合E</w:t>
            </w:r>
          </w:p>
        </w:tc>
      </w:tr>
      <w:tr>
        <w:tc>
          <w:tcPr>
            <w:tcW/>
            <w:vAlign w:val="center"/>
          </w:tcPr>
          <w:p>
            <w:pPr>
              <w:spacing w:line="240" w:lineRule="auto"/>
              <w:jc w:val="left"/>
            </w:pPr>
            <w:r>
              <w:rPr>
                <w:rFonts w:ascii="宋体" w:hAnsi="宋体" w:cs="宋体" w:eastAsia="宋体"/>
                <w:b w:val="false"/>
              </w:rPr>
              <w:t>1.本期已实现收益</w:t>
            </w:r>
          </w:p>
        </w:tc>
        <w:tc>
          <w:tcPr>
            <w:tcW w:type="pct" w:w="1000"/>
            <w:vAlign w:val="center"/>
          </w:tcPr>
          <w:p>
            <w:pPr>
              <w:spacing w:line="240" w:lineRule="auto"/>
              <w:jc w:val="right"/>
            </w:pPr>
            <w:r>
              <w:rPr>
                <w:rFonts w:ascii="宋体" w:hAnsi="宋体" w:cs="宋体" w:eastAsia="宋体"/>
                <w:b w:val="false"/>
              </w:rPr>
              <w:t>-8,752,486.95</w:t>
            </w:r>
          </w:p>
        </w:tc>
        <w:tc>
          <w:tcPr>
            <w:tcW w:type="pct" w:w="1000"/>
            <w:vAlign w:val="center"/>
          </w:tcPr>
          <w:p>
            <w:pPr>
              <w:spacing w:line="240" w:lineRule="auto"/>
              <w:jc w:val="right"/>
            </w:pPr>
            <w:r>
              <w:rPr>
                <w:rFonts w:ascii="宋体" w:hAnsi="宋体" w:cs="宋体" w:eastAsia="宋体"/>
                <w:b w:val="false"/>
              </w:rPr>
              <w:t>-115,492.22</w:t>
            </w:r>
          </w:p>
        </w:tc>
        <w:tc>
          <w:tcPr>
            <w:tcW w:type="pct" w:w="1000"/>
            <w:vAlign w:val="center"/>
          </w:tcPr>
          <w:p>
            <w:pPr>
              <w:spacing w:line="240" w:lineRule="auto"/>
              <w:jc w:val="right"/>
            </w:pPr>
            <w:r>
              <w:rPr>
                <w:rFonts w:ascii="宋体" w:hAnsi="宋体" w:cs="宋体" w:eastAsia="宋体"/>
                <w:b w:val="false"/>
              </w:rPr>
              <w:t>-1,838,469.93</w:t>
            </w:r>
          </w:p>
        </w:tc>
      </w:tr>
      <w:tr>
        <w:tc>
          <w:tcPr>
            <w:tcW/>
            <w:vAlign w:val="center"/>
          </w:tcPr>
          <w:p>
            <w:pPr>
              <w:spacing w:line="240" w:lineRule="auto"/>
              <w:jc w:val="left"/>
            </w:pPr>
            <w:r>
              <w:rPr>
                <w:rFonts w:ascii="宋体" w:hAnsi="宋体" w:cs="宋体" w:eastAsia="宋体"/>
                <w:b w:val="false"/>
              </w:rPr>
              <w:t>2.本期利润</w:t>
            </w:r>
          </w:p>
        </w:tc>
        <w:tc>
          <w:tcPr>
            <w:tcW w:type="pct" w:w="1000"/>
            <w:vAlign w:val="center"/>
          </w:tcPr>
          <w:p>
            <w:pPr>
              <w:spacing w:line="240" w:lineRule="auto"/>
              <w:jc w:val="right"/>
            </w:pPr>
            <w:r>
              <w:rPr>
                <w:rFonts w:ascii="宋体" w:hAnsi="宋体" w:cs="宋体" w:eastAsia="宋体"/>
                <w:b w:val="false"/>
              </w:rPr>
              <w:t>-11,702,619.87</w:t>
            </w:r>
          </w:p>
        </w:tc>
        <w:tc>
          <w:tcPr>
            <w:tcW w:type="pct" w:w="1000"/>
            <w:vAlign w:val="center"/>
          </w:tcPr>
          <w:p>
            <w:pPr>
              <w:spacing w:line="240" w:lineRule="auto"/>
              <w:jc w:val="right"/>
            </w:pPr>
            <w:r>
              <w:rPr>
                <w:rFonts w:ascii="宋体" w:hAnsi="宋体" w:cs="宋体" w:eastAsia="宋体"/>
                <w:b w:val="false"/>
              </w:rPr>
              <w:t>-112,398.76</w:t>
            </w:r>
          </w:p>
        </w:tc>
        <w:tc>
          <w:tcPr>
            <w:tcW w:type="pct" w:w="1000"/>
            <w:vAlign w:val="center"/>
          </w:tcPr>
          <w:p>
            <w:pPr>
              <w:spacing w:line="240" w:lineRule="auto"/>
              <w:jc w:val="right"/>
            </w:pPr>
            <w:r>
              <w:rPr>
                <w:rFonts w:ascii="宋体" w:hAnsi="宋体" w:cs="宋体" w:eastAsia="宋体"/>
                <w:b w:val="false"/>
              </w:rPr>
              <w:t>4,541,359.24</w:t>
            </w:r>
          </w:p>
        </w:tc>
      </w:tr>
      <w:tr>
        <w:tc>
          <w:tcPr>
            <w:tcW/>
            <w:vAlign w:val="center"/>
          </w:tcPr>
          <w:p>
            <w:pPr>
              <w:spacing w:line="240" w:lineRule="auto"/>
              <w:jc w:val="left"/>
            </w:pPr>
            <w:r>
              <w:rPr>
                <w:rFonts w:ascii="宋体" w:hAnsi="宋体" w:cs="宋体" w:eastAsia="宋体"/>
                <w:b w:val="false"/>
              </w:rPr>
              <w:t>3.加权平均基金份额本期利润</w:t>
            </w:r>
          </w:p>
        </w:tc>
        <w:tc>
          <w:tcPr>
            <w:tcW w:type="pct" w:w="1000"/>
            <w:vAlign w:val="center"/>
          </w:tcPr>
          <w:p>
            <w:pPr>
              <w:spacing w:line="240" w:lineRule="auto"/>
              <w:jc w:val="right"/>
            </w:pPr>
            <w:r>
              <w:rPr>
                <w:rFonts w:ascii="宋体" w:hAnsi="宋体" w:cs="宋体" w:eastAsia="宋体"/>
                <w:b w:val="false"/>
              </w:rPr>
              <w:t>-0.0197</w:t>
            </w:r>
          </w:p>
        </w:tc>
        <w:tc>
          <w:tcPr>
            <w:tcW w:type="pct" w:w="1000"/>
            <w:vAlign w:val="center"/>
          </w:tcPr>
          <w:p>
            <w:pPr>
              <w:spacing w:line="240" w:lineRule="auto"/>
              <w:jc w:val="right"/>
            </w:pPr>
            <w:r>
              <w:rPr>
                <w:rFonts w:ascii="宋体" w:hAnsi="宋体" w:cs="宋体" w:eastAsia="宋体"/>
                <w:b w:val="false"/>
              </w:rPr>
              <w:t>-0.0137</w:t>
            </w:r>
          </w:p>
        </w:tc>
        <w:tc>
          <w:tcPr>
            <w:tcW w:type="pct" w:w="1000"/>
            <w:vAlign w:val="center"/>
          </w:tcPr>
          <w:p>
            <w:pPr>
              <w:spacing w:line="240" w:lineRule="auto"/>
              <w:jc w:val="right"/>
            </w:pPr>
            <w:r>
              <w:rPr>
                <w:rFonts w:ascii="宋体" w:hAnsi="宋体" w:cs="宋体" w:eastAsia="宋体"/>
                <w:b w:val="false"/>
              </w:rPr>
              <w:t>0.2132</w:t>
            </w:r>
          </w:p>
        </w:tc>
      </w:tr>
      <w:tr>
        <w:tc>
          <w:tcPr>
            <w:tcW/>
            <w:vAlign w:val="center"/>
          </w:tcPr>
          <w:p>
            <w:pPr>
              <w:spacing w:line="240" w:lineRule="auto"/>
              <w:jc w:val="left"/>
            </w:pPr>
            <w:r>
              <w:rPr>
                <w:rFonts w:ascii="宋体" w:hAnsi="宋体" w:cs="宋体" w:eastAsia="宋体"/>
                <w:b w:val="false"/>
              </w:rPr>
              <w:t>4.期末基金资产净值</w:t>
            </w:r>
          </w:p>
        </w:tc>
        <w:tc>
          <w:tcPr>
            <w:tcW w:type="pct" w:w="1000"/>
            <w:vAlign w:val="center"/>
          </w:tcPr>
          <w:p>
            <w:pPr>
              <w:spacing w:line="240" w:lineRule="auto"/>
              <w:jc w:val="right"/>
            </w:pPr>
            <w:r>
              <w:rPr>
                <w:rFonts w:ascii="宋体" w:hAnsi="宋体" w:cs="宋体" w:eastAsia="宋体"/>
                <w:b w:val="false"/>
              </w:rPr>
              <w:t>278,122,676.38</w:t>
            </w:r>
          </w:p>
        </w:tc>
        <w:tc>
          <w:tcPr>
            <w:tcW w:type="pct" w:w="1000"/>
            <w:vAlign w:val="center"/>
          </w:tcPr>
          <w:p>
            <w:pPr>
              <w:spacing w:line="240" w:lineRule="auto"/>
              <w:jc w:val="right"/>
            </w:pPr>
            <w:r>
              <w:rPr>
                <w:rFonts w:ascii="宋体" w:hAnsi="宋体" w:cs="宋体" w:eastAsia="宋体"/>
                <w:b w:val="false"/>
              </w:rPr>
              <w:t>3,854,363.94</w:t>
            </w:r>
          </w:p>
        </w:tc>
        <w:tc>
          <w:tcPr>
            <w:tcW w:type="pct" w:w="1000"/>
            <w:vAlign w:val="center"/>
          </w:tcPr>
          <w:p>
            <w:pPr>
              <w:spacing w:line="240" w:lineRule="auto"/>
              <w:jc w:val="right"/>
            </w:pPr>
            <w:r>
              <w:rPr>
                <w:rFonts w:ascii="宋体" w:hAnsi="宋体" w:cs="宋体" w:eastAsia="宋体"/>
                <w:b w:val="false"/>
              </w:rPr>
              <w:t>83,483,476.02</w:t>
            </w:r>
          </w:p>
        </w:tc>
      </w:tr>
      <w:tr>
        <w:tc>
          <w:tcPr>
            <w:tcW/>
            <w:vAlign w:val="center"/>
          </w:tcPr>
          <w:p>
            <w:pPr>
              <w:spacing w:line="240" w:lineRule="auto"/>
              <w:jc w:val="left"/>
            </w:pPr>
            <w:r>
              <w:rPr>
                <w:rFonts w:ascii="宋体" w:hAnsi="宋体" w:cs="宋体" w:eastAsia="宋体"/>
                <w:b w:val="false"/>
              </w:rPr>
              <w:t>5.期末基金份额净值</w:t>
            </w:r>
          </w:p>
        </w:tc>
        <w:tc>
          <w:tcPr>
            <w:tcW w:type="pct" w:w="1000"/>
            <w:vAlign w:val="center"/>
          </w:tcPr>
          <w:p>
            <w:pPr>
              <w:spacing w:line="240" w:lineRule="auto"/>
              <w:jc w:val="right"/>
            </w:pPr>
            <w:r>
              <w:rPr>
                <w:rFonts w:ascii="宋体" w:hAnsi="宋体" w:cs="宋体" w:eastAsia="宋体"/>
                <w:b w:val="false"/>
              </w:rPr>
              <w:t>0.4755</w:t>
            </w:r>
          </w:p>
        </w:tc>
        <w:tc>
          <w:tcPr>
            <w:tcW w:type="pct" w:w="1000"/>
            <w:vAlign w:val="center"/>
          </w:tcPr>
          <w:p>
            <w:pPr>
              <w:spacing w:line="240" w:lineRule="auto"/>
              <w:jc w:val="right"/>
            </w:pPr>
            <w:r>
              <w:rPr>
                <w:rFonts w:ascii="宋体" w:hAnsi="宋体" w:cs="宋体" w:eastAsia="宋体"/>
                <w:b w:val="false"/>
              </w:rPr>
              <w:t>0.4515</w:t>
            </w:r>
          </w:p>
        </w:tc>
        <w:tc>
          <w:tcPr>
            <w:tcW w:type="pct" w:w="1000"/>
            <w:vAlign w:val="center"/>
          </w:tcPr>
          <w:p>
            <w:pPr>
              <w:spacing w:line="240" w:lineRule="auto"/>
              <w:jc w:val="right"/>
            </w:pPr>
            <w:r>
              <w:rPr>
                <w:rFonts w:ascii="宋体" w:hAnsi="宋体" w:cs="宋体" w:eastAsia="宋体"/>
                <w:b w:val="false"/>
              </w:rPr>
              <w:t>0.4698</w:t>
            </w:r>
          </w:p>
        </w:tc>
      </w:tr>
    </w:tbl>
    <w:p>
      <w:r>
        <w:rPr>
          <w:rFonts w:ascii="宋体" w:hAnsi="宋体" w:cs="宋体" w:eastAsia="宋体"/>
          <w:b w:val="false"/>
        </w:rPr>
        <w:t>注：1、本期已实现收益指基金本期利息收入、投资收益、其他收入(不含公允价值变动收益)扣除相关费用后的余额，本期利润为本期已实现收益加上本期公允价值变动收益。</w:t>
        <w:cr/>
      </w:r>
      <w:r>
        <w:rPr>
          <w:rFonts w:ascii="宋体" w:hAnsi="宋体" w:cs="宋体" w:eastAsia="宋体"/>
          <w:b w:val="false"/>
        </w:rPr>
        <w:t>2、所述基金业绩指标不包括持有人认购或交易基金的各项费用，计入费用后实际收益水平要低于所列数字。</w:t>
      </w:r>
    </w:p>
    <w:p/>
    <w:p>
      <w:pPr>
        <w:pStyle w:val="2"/>
        <w:jc w:val="left"/>
      </w:pPr>
      <w:r>
        <w:rPr>
          <w:rFonts w:ascii="宋体" w:hAnsi="宋体" w:cs="宋体" w:eastAsia="宋体"/>
        </w:rPr>
        <w:t>3.2 基金净值表现</w:t>
      </w:r>
    </w:p>
    <w:p>
      <w:r>
        <w:rPr>
          <w:rStyle w:val="正文"/>
          <w:rFonts w:ascii="宋体" w:hAnsi="宋体" w:cs="宋体" w:eastAsia="宋体"/>
          <w:b w:val="true"/>
        </w:rPr>
        <w:t>3.2.1 基金份额净值增长率及其与同期业绩比较基准收益率的比较</w:t>
      </w:r>
    </w:p>
    <w:p>
      <w:pPr>
        <w:jc w:val="left"/>
      </w:pPr>
      <w:r>
        <w:rPr>
          <w:rFonts w:ascii="宋体" w:hAnsi="宋体" w:cs="宋体" w:eastAsia="宋体"/>
          <w:b w:val="true"/>
        </w:rPr>
        <w:t>东方阿尔法招阳混合A净值表现</w:t>
      </w:r>
    </w:p>
    <w:tbl>
      <w:tblPr>
        <w:tblW w:w="5000" w:type="pct"/>
        <w:tblBorders>
          <w:top w:val="single" w:sz="4"/>
          <w:left w:val="single" w:sz="4"/>
          <w:bottom w:val="single" w:sz="4"/>
          <w:right w:val="single" w:sz="4"/>
          <w:insideH w:val="single" w:sz="4"/>
          <w:insideV w:val="single" w:sz="4"/>
        </w:tblBorders>
      </w:tblPr>
      <w:tblGrid>
        <w:gridCol w:w="1295"/>
        <w:gridCol w:w="1295"/>
        <w:gridCol w:w="1295"/>
        <w:gridCol w:w="1295"/>
        <w:gridCol w:w="1295"/>
        <w:gridCol w:w="1295"/>
        <w:gridCol w:w="1295"/>
      </w:tblGrid>
      <w:tr>
        <w:tc>
          <w:tcPr>
            <w:tcW w:type="pct" w:w="846"/>
            <w:vAlign w:val="center"/>
          </w:tcPr>
          <w:tcPr>
            <w:shd w:fill="d9d9d9"/>
          </w:tcPr>
          <w:p>
            <w:pPr>
              <w:spacing w:line="240" w:lineRule="auto"/>
              <w:jc w:val="center"/>
            </w:pPr>
            <w:r>
              <w:rPr>
                <w:rFonts w:ascii="宋体" w:hAnsi="宋体" w:cs="宋体" w:eastAsia="宋体"/>
                <w:b w:val="false"/>
              </w:rPr>
              <w:t>阶段</w:t>
            </w:r>
          </w:p>
        </w:tc>
        <w:tc>
          <w:tcPr>
            <w:tcW w:type="pct" w:w="692"/>
            <w:vAlign w:val="center"/>
          </w:tcPr>
          <w:tcPr>
            <w:shd w:fill="d9d9d9"/>
          </w:tcPr>
          <w:p>
            <w:pPr>
              <w:spacing w:line="240" w:lineRule="auto"/>
              <w:jc w:val="center"/>
            </w:pPr>
            <w:r>
              <w:rPr>
                <w:rFonts w:ascii="宋体" w:hAnsi="宋体" w:cs="宋体" w:eastAsia="宋体"/>
                <w:b w:val="false"/>
              </w:rPr>
              <w:t>净值增长率①</w:t>
            </w:r>
          </w:p>
        </w:tc>
        <w:tc>
          <w:tcPr>
            <w:tcW w:type="pct" w:w="692"/>
            <w:vAlign w:val="center"/>
          </w:tcPr>
          <w:tcPr>
            <w:shd w:fill="d9d9d9"/>
          </w:tcPr>
          <w:p>
            <w:pPr>
              <w:spacing w:line="240" w:lineRule="auto"/>
              <w:jc w:val="center"/>
            </w:pPr>
            <w:r>
              <w:rPr>
                <w:rFonts w:ascii="宋体" w:hAnsi="宋体" w:cs="宋体" w:eastAsia="宋体"/>
                <w:b w:val="false"/>
              </w:rPr>
              <w:t>净值增长率标准差②</w:t>
            </w:r>
          </w:p>
        </w:tc>
        <w:tc>
          <w:tcPr>
            <w:tcW w:type="pct" w:w="692"/>
            <w:vAlign w:val="center"/>
          </w:tcPr>
          <w:tcPr>
            <w:shd w:fill="d9d9d9"/>
          </w:tcPr>
          <w:p>
            <w:pPr>
              <w:spacing w:line="240" w:lineRule="auto"/>
              <w:jc w:val="center"/>
            </w:pPr>
            <w:r>
              <w:rPr>
                <w:rFonts w:ascii="宋体" w:hAnsi="宋体" w:cs="宋体" w:eastAsia="宋体"/>
                <w:b w:val="false"/>
              </w:rPr>
              <w:t>业绩比较基准收益率③</w:t>
            </w:r>
          </w:p>
        </w:tc>
        <w:tc>
          <w:tcPr>
            <w:tcW w:type="pct" w:w="692"/>
            <w:vAlign w:val="center"/>
          </w:tcPr>
          <w:tcPr>
            <w:shd w:fill="d9d9d9"/>
          </w:tcPr>
          <w:p>
            <w:pPr>
              <w:spacing w:line="240" w:lineRule="auto"/>
              <w:jc w:val="center"/>
            </w:pPr>
            <w:r>
              <w:rPr>
                <w:rFonts w:ascii="宋体" w:hAnsi="宋体" w:cs="宋体" w:eastAsia="宋体"/>
                <w:b w:val="false"/>
              </w:rPr>
              <w:t>业绩比较基准收益率标准差④</w:t>
            </w:r>
          </w:p>
        </w:tc>
        <w:tc>
          <w:tcPr>
            <w:tcW w:type="pct" w:w="692"/>
            <w:vAlign w:val="center"/>
          </w:tcPr>
          <w:tcPr>
            <w:shd w:fill="d9d9d9"/>
          </w:tcPr>
          <w:p>
            <w:pPr>
              <w:spacing w:line="240" w:lineRule="auto"/>
              <w:jc w:val="center"/>
            </w:pPr>
            <w:r>
              <w:rPr>
                <w:rFonts w:ascii="宋体" w:hAnsi="宋体" w:cs="宋体" w:eastAsia="宋体"/>
                <w:b w:val="false"/>
              </w:rPr>
              <w:t>①-③</w:t>
            </w:r>
          </w:p>
        </w:tc>
        <w:tc>
          <w:tcPr>
            <w:tcW w:type="pct" w:w="692"/>
            <w:vAlign w:val="center"/>
          </w:tcPr>
          <w:tcPr>
            <w:shd w:fill="d9d9d9"/>
          </w:tcPr>
          <w:p>
            <w:pPr>
              <w:spacing w:line="240" w:lineRule="auto"/>
              <w:jc w:val="center"/>
            </w:pPr>
            <w:r>
              <w:rPr>
                <w:rFonts w:ascii="宋体" w:hAnsi="宋体" w:cs="宋体" w:eastAsia="宋体"/>
                <w:b w:val="false"/>
              </w:rPr>
              <w:t>②-④</w:t>
            </w:r>
          </w:p>
        </w:tc>
      </w:tr>
      <w:tr>
        <w:tc>
          <w:tcPr>
            <w:tcW/>
            <w:vAlign w:val="center"/>
          </w:tcPr>
          <w:p>
            <w:pPr>
              <w:spacing w:line="240" w:lineRule="auto"/>
              <w:jc w:val="left"/>
            </w:pPr>
            <w:r>
              <w:rPr>
                <w:rFonts w:ascii="宋体" w:hAnsi="宋体" w:cs="宋体" w:eastAsia="宋体"/>
                <w:b w:val="false"/>
              </w:rPr>
              <w:t>过去三个月</w:t>
            </w:r>
          </w:p>
        </w:tc>
        <w:tc>
          <w:tcPr>
            <w:tcW/>
            <w:vAlign w:val="center"/>
          </w:tcPr>
          <w:p>
            <w:pPr>
              <w:spacing w:line="240" w:lineRule="auto"/>
              <w:jc w:val="right"/>
            </w:pPr>
            <w:r>
              <w:rPr>
                <w:rFonts w:ascii="宋体" w:hAnsi="宋体" w:cs="宋体" w:eastAsia="宋体"/>
                <w:b w:val="false"/>
              </w:rPr>
              <w:t>-4.42%</w:t>
            </w:r>
          </w:p>
        </w:tc>
        <w:tc>
          <w:tcPr>
            <w:tcW/>
            <w:vAlign w:val="center"/>
          </w:tcPr>
          <w:p>
            <w:pPr>
              <w:spacing w:line="240" w:lineRule="auto"/>
              <w:jc w:val="right"/>
            </w:pPr>
            <w:r>
              <w:rPr>
                <w:rFonts w:ascii="宋体" w:hAnsi="宋体" w:cs="宋体" w:eastAsia="宋体"/>
                <w:b w:val="false"/>
              </w:rPr>
              <w:t>2.10%</w:t>
            </w:r>
          </w:p>
        </w:tc>
        <w:tc>
          <w:tcPr>
            <w:tcW/>
            <w:vAlign w:val="center"/>
          </w:tcPr>
          <w:p>
            <w:pPr>
              <w:spacing w:line="240" w:lineRule="auto"/>
              <w:jc w:val="right"/>
            </w:pPr>
            <w:r>
              <w:rPr>
                <w:rFonts w:ascii="宋体" w:hAnsi="宋体" w:cs="宋体" w:eastAsia="宋体"/>
                <w:b w:val="false"/>
              </w:rPr>
              <w:t>16.79%</w:t>
            </w:r>
          </w:p>
        </w:tc>
        <w:tc>
          <w:tcPr>
            <w:tcW/>
            <w:vAlign w:val="center"/>
          </w:tcPr>
          <w:p>
            <w:pPr>
              <w:spacing w:line="240" w:lineRule="auto"/>
              <w:jc w:val="right"/>
            </w:pPr>
            <w:r>
              <w:rPr>
                <w:rFonts w:ascii="宋体" w:hAnsi="宋体" w:cs="宋体" w:eastAsia="宋体"/>
                <w:b w:val="false"/>
              </w:rPr>
              <w:t>0.77%</w:t>
            </w:r>
          </w:p>
        </w:tc>
        <w:tc>
          <w:tcPr>
            <w:tcW/>
            <w:vAlign w:val="center"/>
          </w:tcPr>
          <w:p>
            <w:pPr>
              <w:spacing w:line="240" w:lineRule="auto"/>
              <w:jc w:val="right"/>
            </w:pPr>
            <w:r>
              <w:rPr>
                <w:rFonts w:ascii="宋体" w:hAnsi="宋体" w:cs="宋体" w:eastAsia="宋体"/>
                <w:b w:val="false"/>
              </w:rPr>
              <w:t>-21.21%</w:t>
            </w:r>
          </w:p>
        </w:tc>
        <w:tc>
          <w:tcPr>
            <w:tcW/>
            <w:vAlign w:val="center"/>
          </w:tcPr>
          <w:p>
            <w:pPr>
              <w:spacing w:line="240" w:lineRule="auto"/>
              <w:jc w:val="right"/>
            </w:pPr>
            <w:r>
              <w:rPr>
                <w:rFonts w:ascii="宋体" w:hAnsi="宋体" w:cs="宋体" w:eastAsia="宋体"/>
                <w:b w:val="false"/>
              </w:rPr>
              <w:t>1.33%</w:t>
            </w:r>
          </w:p>
        </w:tc>
      </w:tr>
      <w:tr>
        <w:tc>
          <w:tcPr>
            <w:tcW/>
            <w:vAlign w:val="center"/>
          </w:tcPr>
          <w:p>
            <w:pPr>
              <w:spacing w:line="240" w:lineRule="auto"/>
              <w:jc w:val="left"/>
            </w:pPr>
            <w:r>
              <w:rPr>
                <w:rFonts w:ascii="宋体" w:hAnsi="宋体" w:cs="宋体" w:eastAsia="宋体"/>
                <w:b w:val="false"/>
              </w:rPr>
              <w:t>过去六个月</w:t>
            </w:r>
          </w:p>
        </w:tc>
        <w:tc>
          <w:tcPr>
            <w:tcW/>
            <w:vAlign w:val="center"/>
          </w:tcPr>
          <w:p>
            <w:pPr>
              <w:spacing w:line="240" w:lineRule="auto"/>
              <w:jc w:val="right"/>
            </w:pPr>
            <w:r>
              <w:rPr>
                <w:rFonts w:ascii="宋体" w:hAnsi="宋体" w:cs="宋体" w:eastAsia="宋体"/>
                <w:b w:val="false"/>
              </w:rPr>
              <w:t>2.99%</w:t>
            </w:r>
          </w:p>
        </w:tc>
        <w:tc>
          <w:tcPr>
            <w:tcW/>
            <w:vAlign w:val="center"/>
          </w:tcPr>
          <w:p>
            <w:pPr>
              <w:spacing w:line="240" w:lineRule="auto"/>
              <w:jc w:val="right"/>
            </w:pPr>
            <w:r>
              <w:rPr>
                <w:rFonts w:ascii="宋体" w:hAnsi="宋体" w:cs="宋体" w:eastAsia="宋体"/>
                <w:b w:val="false"/>
              </w:rPr>
              <w:t>2.01%</w:t>
            </w:r>
          </w:p>
        </w:tc>
        <w:tc>
          <w:tcPr>
            <w:tcW/>
            <w:vAlign w:val="center"/>
          </w:tcPr>
          <w:p>
            <w:pPr>
              <w:spacing w:line="240" w:lineRule="auto"/>
              <w:jc w:val="right"/>
            </w:pPr>
            <w:r>
              <w:rPr>
                <w:rFonts w:ascii="宋体" w:hAnsi="宋体" w:cs="宋体" w:eastAsia="宋体"/>
                <w:b w:val="false"/>
              </w:rPr>
              <w:t>18.69%</w:t>
            </w:r>
          </w:p>
        </w:tc>
        <w:tc>
          <w:tcPr>
            <w:tcW/>
            <w:vAlign w:val="center"/>
          </w:tcPr>
          <w:p>
            <w:pPr>
              <w:spacing w:line="240" w:lineRule="auto"/>
              <w:jc w:val="right"/>
            </w:pPr>
            <w:r>
              <w:rPr>
                <w:rFonts w:ascii="宋体" w:hAnsi="宋体" w:cs="宋体" w:eastAsia="宋体"/>
                <w:b w:val="false"/>
              </w:rPr>
              <w:t>0.96%</w:t>
            </w:r>
          </w:p>
        </w:tc>
        <w:tc>
          <w:tcPr>
            <w:tcW/>
            <w:vAlign w:val="center"/>
          </w:tcPr>
          <w:p>
            <w:pPr>
              <w:spacing w:line="240" w:lineRule="auto"/>
              <w:jc w:val="right"/>
            </w:pPr>
            <w:r>
              <w:rPr>
                <w:rFonts w:ascii="宋体" w:hAnsi="宋体" w:cs="宋体" w:eastAsia="宋体"/>
                <w:b w:val="false"/>
              </w:rPr>
              <w:t>-15.70%</w:t>
            </w:r>
          </w:p>
        </w:tc>
        <w:tc>
          <w:tcPr>
            <w:tcW/>
            <w:vAlign w:val="center"/>
          </w:tcPr>
          <w:p>
            <w:pPr>
              <w:spacing w:line="240" w:lineRule="auto"/>
              <w:jc w:val="right"/>
            </w:pPr>
            <w:r>
              <w:rPr>
                <w:rFonts w:ascii="宋体" w:hAnsi="宋体" w:cs="宋体" w:eastAsia="宋体"/>
                <w:b w:val="false"/>
              </w:rPr>
              <w:t>1.05%</w:t>
            </w:r>
          </w:p>
        </w:tc>
      </w:tr>
      <w:tr>
        <w:tc>
          <w:tcPr>
            <w:tcW/>
            <w:vAlign w:val="center"/>
          </w:tcPr>
          <w:p>
            <w:pPr>
              <w:spacing w:line="240" w:lineRule="auto"/>
              <w:jc w:val="left"/>
            </w:pPr>
            <w:r>
              <w:rPr>
                <w:rFonts w:ascii="宋体" w:hAnsi="宋体" w:cs="宋体" w:eastAsia="宋体"/>
                <w:b w:val="false"/>
              </w:rPr>
              <w:t>过去一年</w:t>
            </w:r>
          </w:p>
        </w:tc>
        <w:tc>
          <w:tcPr>
            <w:tcW/>
            <w:vAlign w:val="center"/>
          </w:tcPr>
          <w:p>
            <w:pPr>
              <w:spacing w:line="240" w:lineRule="auto"/>
              <w:jc w:val="right"/>
            </w:pPr>
            <w:r>
              <w:rPr>
                <w:rFonts w:ascii="宋体" w:hAnsi="宋体" w:cs="宋体" w:eastAsia="宋体"/>
                <w:b w:val="false"/>
              </w:rPr>
              <w:t>-1.63%</w:t>
            </w:r>
          </w:p>
        </w:tc>
        <w:tc>
          <w:tcPr>
            <w:tcW/>
            <w:vAlign w:val="center"/>
          </w:tcPr>
          <w:p>
            <w:pPr>
              <w:spacing w:line="240" w:lineRule="auto"/>
              <w:jc w:val="right"/>
            </w:pPr>
            <w:r>
              <w:rPr>
                <w:rFonts w:ascii="宋体" w:hAnsi="宋体" w:cs="宋体" w:eastAsia="宋体"/>
                <w:b w:val="false"/>
              </w:rPr>
              <w:t>2.14%</w:t>
            </w:r>
          </w:p>
        </w:tc>
        <w:tc>
          <w:tcPr>
            <w:tcW/>
            <w:vAlign w:val="center"/>
          </w:tcPr>
          <w:p>
            <w:pPr>
              <w:spacing w:line="240" w:lineRule="auto"/>
              <w:jc w:val="right"/>
            </w:pPr>
            <w:r>
              <w:rPr>
                <w:rFonts w:ascii="宋体" w:hAnsi="宋体" w:cs="宋体" w:eastAsia="宋体"/>
                <w:b w:val="false"/>
              </w:rPr>
              <w:t>18.40%</w:t>
            </w:r>
          </w:p>
        </w:tc>
        <w:tc>
          <w:tcPr>
            <w:tcW/>
            <w:vAlign w:val="center"/>
          </w:tcPr>
          <w:p>
            <w:pPr>
              <w:spacing w:line="240" w:lineRule="auto"/>
              <w:jc w:val="right"/>
            </w:pPr>
            <w:r>
              <w:rPr>
                <w:rFonts w:ascii="宋体" w:hAnsi="宋体" w:cs="宋体" w:eastAsia="宋体"/>
                <w:b w:val="false"/>
              </w:rPr>
              <w:t>1.11%</w:t>
            </w:r>
          </w:p>
        </w:tc>
        <w:tc>
          <w:tcPr>
            <w:tcW/>
            <w:vAlign w:val="center"/>
          </w:tcPr>
          <w:p>
            <w:pPr>
              <w:spacing w:line="240" w:lineRule="auto"/>
              <w:jc w:val="right"/>
            </w:pPr>
            <w:r>
              <w:rPr>
                <w:rFonts w:ascii="宋体" w:hAnsi="宋体" w:cs="宋体" w:eastAsia="宋体"/>
                <w:b w:val="false"/>
              </w:rPr>
              <w:t>-20.03%</w:t>
            </w:r>
          </w:p>
        </w:tc>
        <w:tc>
          <w:tcPr>
            <w:tcW/>
            <w:vAlign w:val="center"/>
          </w:tcPr>
          <w:p>
            <w:pPr>
              <w:spacing w:line="240" w:lineRule="auto"/>
              <w:jc w:val="right"/>
            </w:pPr>
            <w:r>
              <w:rPr>
                <w:rFonts w:ascii="宋体" w:hAnsi="宋体" w:cs="宋体" w:eastAsia="宋体"/>
                <w:b w:val="false"/>
              </w:rPr>
              <w:t>1.03%</w:t>
            </w:r>
          </w:p>
        </w:tc>
      </w:tr>
      <w:tr>
        <w:tc>
          <w:tcPr>
            <w:tcW/>
            <w:vAlign w:val="center"/>
          </w:tcPr>
          <w:p>
            <w:pPr>
              <w:spacing w:line="240" w:lineRule="auto"/>
              <w:jc w:val="left"/>
            </w:pPr>
            <w:r>
              <w:rPr>
                <w:rFonts w:ascii="宋体" w:hAnsi="宋体" w:cs="宋体" w:eastAsia="宋体"/>
                <w:b w:val="false"/>
              </w:rPr>
              <w:t>过去三年</w:t>
            </w:r>
          </w:p>
        </w:tc>
        <w:tc>
          <w:tcPr>
            <w:tcW/>
            <w:vAlign w:val="center"/>
          </w:tcPr>
          <w:p>
            <w:pPr>
              <w:spacing w:line="240" w:lineRule="auto"/>
              <w:jc w:val="right"/>
            </w:pPr>
            <w:r>
              <w:rPr>
                <w:rFonts w:ascii="宋体" w:hAnsi="宋体" w:cs="宋体" w:eastAsia="宋体"/>
                <w:b w:val="false"/>
              </w:rPr>
              <w:t>-37.92%</w:t>
            </w:r>
          </w:p>
        </w:tc>
        <w:tc>
          <w:tcPr>
            <w:tcW/>
            <w:vAlign w:val="center"/>
          </w:tcPr>
          <w:p>
            <w:pPr>
              <w:spacing w:line="240" w:lineRule="auto"/>
              <w:jc w:val="right"/>
            </w:pPr>
            <w:r>
              <w:rPr>
                <w:rFonts w:ascii="宋体" w:hAnsi="宋体" w:cs="宋体" w:eastAsia="宋体"/>
                <w:b w:val="false"/>
              </w:rPr>
              <w:t>1.95%</w:t>
            </w:r>
          </w:p>
        </w:tc>
        <w:tc>
          <w:tcPr>
            <w:tcW/>
            <w:vAlign w:val="center"/>
          </w:tcPr>
          <w:p>
            <w:pPr>
              <w:spacing w:line="240" w:lineRule="auto"/>
              <w:jc w:val="right"/>
            </w:pPr>
            <w:r>
              <w:rPr>
                <w:rFonts w:ascii="宋体" w:hAnsi="宋体" w:cs="宋体" w:eastAsia="宋体"/>
                <w:b w:val="false"/>
              </w:rPr>
              <w:t>26.84%</w:t>
            </w:r>
          </w:p>
        </w:tc>
        <w:tc>
          <w:tcPr>
            <w:tcW/>
            <w:vAlign w:val="center"/>
          </w:tcPr>
          <w:p>
            <w:pPr>
              <w:spacing w:line="240" w:lineRule="auto"/>
              <w:jc w:val="right"/>
            </w:pPr>
            <w:r>
              <w:rPr>
                <w:rFonts w:ascii="宋体" w:hAnsi="宋体" w:cs="宋体" w:eastAsia="宋体"/>
                <w:b w:val="false"/>
              </w:rPr>
              <w:t>1.01%</w:t>
            </w:r>
          </w:p>
        </w:tc>
        <w:tc>
          <w:tcPr>
            <w:tcW/>
            <w:vAlign w:val="center"/>
          </w:tcPr>
          <w:p>
            <w:pPr>
              <w:spacing w:line="240" w:lineRule="auto"/>
              <w:jc w:val="right"/>
            </w:pPr>
            <w:r>
              <w:rPr>
                <w:rFonts w:ascii="宋体" w:hAnsi="宋体" w:cs="宋体" w:eastAsia="宋体"/>
                <w:b w:val="false"/>
              </w:rPr>
              <w:t>-64.76%</w:t>
            </w:r>
          </w:p>
        </w:tc>
        <w:tc>
          <w:tcPr>
            <w:tcW/>
            <w:vAlign w:val="center"/>
          </w:tcPr>
          <w:p>
            <w:pPr>
              <w:spacing w:line="240" w:lineRule="auto"/>
              <w:jc w:val="right"/>
            </w:pPr>
            <w:r>
              <w:rPr>
                <w:rFonts w:ascii="宋体" w:hAnsi="宋体" w:cs="宋体" w:eastAsia="宋体"/>
                <w:b w:val="false"/>
              </w:rPr>
              <w:t>0.94%</w:t>
            </w:r>
          </w:p>
        </w:tc>
      </w:tr>
      <w:tr>
        <w:tc>
          <w:tcPr>
            <w:tcW/>
            <w:vAlign w:val="center"/>
          </w:tcPr>
          <w:p>
            <w:pPr>
              <w:spacing w:line="240" w:lineRule="auto"/>
              <w:jc w:val="left"/>
            </w:pPr>
            <w:r>
              <w:rPr>
                <w:rFonts w:ascii="宋体" w:hAnsi="宋体" w:cs="宋体" w:eastAsia="宋体"/>
                <w:b w:val="false"/>
              </w:rPr>
              <w:t>自基金合同生效起至今</w:t>
            </w:r>
          </w:p>
        </w:tc>
        <w:tc>
          <w:tcPr>
            <w:tcW/>
            <w:vAlign w:val="center"/>
          </w:tcPr>
          <w:p>
            <w:pPr>
              <w:spacing w:line="240" w:lineRule="auto"/>
              <w:jc w:val="right"/>
            </w:pPr>
            <w:r>
              <w:rPr>
                <w:rFonts w:ascii="宋体" w:hAnsi="宋体" w:cs="宋体" w:eastAsia="宋体"/>
                <w:b w:val="false"/>
              </w:rPr>
              <w:t>-52.45%</w:t>
            </w:r>
          </w:p>
        </w:tc>
        <w:tc>
          <w:tcPr>
            <w:tcW/>
            <w:vAlign w:val="center"/>
          </w:tcPr>
          <w:p>
            <w:pPr>
              <w:spacing w:line="240" w:lineRule="auto"/>
              <w:jc w:val="right"/>
            </w:pPr>
            <w:r>
              <w:rPr>
                <w:rFonts w:ascii="宋体" w:hAnsi="宋体" w:cs="宋体" w:eastAsia="宋体"/>
                <w:b w:val="false"/>
              </w:rPr>
              <w:t>1.83%</w:t>
            </w:r>
          </w:p>
        </w:tc>
        <w:tc>
          <w:tcPr>
            <w:tcW/>
            <w:vAlign w:val="center"/>
          </w:tcPr>
          <w:p>
            <w:pPr>
              <w:spacing w:line="240" w:lineRule="auto"/>
              <w:jc w:val="right"/>
            </w:pPr>
            <w:r>
              <w:rPr>
                <w:rFonts w:ascii="宋体" w:hAnsi="宋体" w:cs="宋体" w:eastAsia="宋体"/>
                <w:b w:val="false"/>
              </w:rPr>
              <w:t>0.52%</w:t>
            </w:r>
          </w:p>
        </w:tc>
        <w:tc>
          <w:tcPr>
            <w:tcW/>
            <w:vAlign w:val="center"/>
          </w:tcPr>
          <w:p>
            <w:pPr>
              <w:spacing w:line="240" w:lineRule="auto"/>
              <w:jc w:val="right"/>
            </w:pPr>
            <w:r>
              <w:rPr>
                <w:rFonts w:ascii="宋体" w:hAnsi="宋体" w:cs="宋体" w:eastAsia="宋体"/>
                <w:b w:val="false"/>
              </w:rPr>
              <w:t>1.01%</w:t>
            </w:r>
          </w:p>
        </w:tc>
        <w:tc>
          <w:tcPr>
            <w:tcW/>
            <w:vAlign w:val="center"/>
          </w:tcPr>
          <w:p>
            <w:pPr>
              <w:spacing w:line="240" w:lineRule="auto"/>
              <w:jc w:val="right"/>
            </w:pPr>
            <w:r>
              <w:rPr>
                <w:rFonts w:ascii="宋体" w:hAnsi="宋体" w:cs="宋体" w:eastAsia="宋体"/>
                <w:b w:val="false"/>
              </w:rPr>
              <w:t>-52.97%</w:t>
            </w:r>
          </w:p>
        </w:tc>
        <w:tc>
          <w:tcPr>
            <w:tcW/>
            <w:vAlign w:val="center"/>
          </w:tcPr>
          <w:p>
            <w:pPr>
              <w:spacing w:line="240" w:lineRule="auto"/>
              <w:jc w:val="right"/>
            </w:pPr>
            <w:r>
              <w:rPr>
                <w:rFonts w:ascii="宋体" w:hAnsi="宋体" w:cs="宋体" w:eastAsia="宋体"/>
                <w:b w:val="false"/>
              </w:rPr>
              <w:t>0.82%</w:t>
            </w:r>
          </w:p>
        </w:tc>
      </w:tr>
    </w:tbl>
    <w:p>
      <w:pPr>
        <w:jc w:val="left"/>
      </w:pPr>
      <w:r>
        <w:rPr>
          <w:rFonts w:ascii="宋体" w:hAnsi="宋体" w:cs="宋体" w:eastAsia="宋体"/>
          <w:b w:val="true"/>
        </w:rPr>
        <w:t>东方阿尔法招阳混合C净值表现</w:t>
      </w:r>
    </w:p>
    <w:tbl>
      <w:tblPr>
        <w:tblW w:w="5000" w:type="pct"/>
        <w:tblBorders>
          <w:top w:val="single" w:sz="4"/>
          <w:left w:val="single" w:sz="4"/>
          <w:bottom w:val="single" w:sz="4"/>
          <w:right w:val="single" w:sz="4"/>
          <w:insideH w:val="single" w:sz="4"/>
          <w:insideV w:val="single" w:sz="4"/>
        </w:tblBorders>
      </w:tblPr>
      <w:tblGrid>
        <w:gridCol w:w="1295"/>
        <w:gridCol w:w="1295"/>
        <w:gridCol w:w="1295"/>
        <w:gridCol w:w="1295"/>
        <w:gridCol w:w="1295"/>
        <w:gridCol w:w="1295"/>
        <w:gridCol w:w="1295"/>
      </w:tblGrid>
      <w:tr>
        <w:tc>
          <w:tcPr>
            <w:tcW w:type="pct" w:w="846"/>
            <w:vAlign w:val="center"/>
          </w:tcPr>
          <w:tcPr>
            <w:shd w:fill="d9d9d9"/>
          </w:tcPr>
          <w:p>
            <w:pPr>
              <w:spacing w:line="240" w:lineRule="auto"/>
              <w:jc w:val="center"/>
            </w:pPr>
            <w:r>
              <w:rPr>
                <w:rFonts w:ascii="宋体" w:hAnsi="宋体" w:cs="宋体" w:eastAsia="宋体"/>
                <w:b w:val="false"/>
              </w:rPr>
              <w:t>阶段</w:t>
            </w:r>
          </w:p>
        </w:tc>
        <w:tc>
          <w:tcPr>
            <w:tcW w:type="pct" w:w="692"/>
            <w:vAlign w:val="center"/>
          </w:tcPr>
          <w:tcPr>
            <w:shd w:fill="d9d9d9"/>
          </w:tcPr>
          <w:p>
            <w:pPr>
              <w:spacing w:line="240" w:lineRule="auto"/>
              <w:jc w:val="center"/>
            </w:pPr>
            <w:r>
              <w:rPr>
                <w:rFonts w:ascii="宋体" w:hAnsi="宋体" w:cs="宋体" w:eastAsia="宋体"/>
                <w:b w:val="false"/>
              </w:rPr>
              <w:t>净值增长率①</w:t>
            </w:r>
          </w:p>
        </w:tc>
        <w:tc>
          <w:tcPr>
            <w:tcW w:type="pct" w:w="692"/>
            <w:vAlign w:val="center"/>
          </w:tcPr>
          <w:tcPr>
            <w:shd w:fill="d9d9d9"/>
          </w:tcPr>
          <w:p>
            <w:pPr>
              <w:spacing w:line="240" w:lineRule="auto"/>
              <w:jc w:val="center"/>
            </w:pPr>
            <w:r>
              <w:rPr>
                <w:rFonts w:ascii="宋体" w:hAnsi="宋体" w:cs="宋体" w:eastAsia="宋体"/>
                <w:b w:val="false"/>
              </w:rPr>
              <w:t>净值增长率标准差②</w:t>
            </w:r>
          </w:p>
        </w:tc>
        <w:tc>
          <w:tcPr>
            <w:tcW w:type="pct" w:w="692"/>
            <w:vAlign w:val="center"/>
          </w:tcPr>
          <w:tcPr>
            <w:shd w:fill="d9d9d9"/>
          </w:tcPr>
          <w:p>
            <w:pPr>
              <w:spacing w:line="240" w:lineRule="auto"/>
              <w:jc w:val="center"/>
            </w:pPr>
            <w:r>
              <w:rPr>
                <w:rFonts w:ascii="宋体" w:hAnsi="宋体" w:cs="宋体" w:eastAsia="宋体"/>
                <w:b w:val="false"/>
              </w:rPr>
              <w:t>业绩比较基准收益率③</w:t>
            </w:r>
          </w:p>
        </w:tc>
        <w:tc>
          <w:tcPr>
            <w:tcW w:type="pct" w:w="692"/>
            <w:vAlign w:val="center"/>
          </w:tcPr>
          <w:tcPr>
            <w:shd w:fill="d9d9d9"/>
          </w:tcPr>
          <w:p>
            <w:pPr>
              <w:spacing w:line="240" w:lineRule="auto"/>
              <w:jc w:val="center"/>
            </w:pPr>
            <w:r>
              <w:rPr>
                <w:rFonts w:ascii="宋体" w:hAnsi="宋体" w:cs="宋体" w:eastAsia="宋体"/>
                <w:b w:val="false"/>
              </w:rPr>
              <w:t>业绩比较基准收益率标准差④</w:t>
            </w:r>
          </w:p>
        </w:tc>
        <w:tc>
          <w:tcPr>
            <w:tcW w:type="pct" w:w="692"/>
            <w:vAlign w:val="center"/>
          </w:tcPr>
          <w:tcPr>
            <w:shd w:fill="d9d9d9"/>
          </w:tcPr>
          <w:p>
            <w:pPr>
              <w:spacing w:line="240" w:lineRule="auto"/>
              <w:jc w:val="center"/>
            </w:pPr>
            <w:r>
              <w:rPr>
                <w:rFonts w:ascii="宋体" w:hAnsi="宋体" w:cs="宋体" w:eastAsia="宋体"/>
                <w:b w:val="false"/>
              </w:rPr>
              <w:t>①-③</w:t>
            </w:r>
          </w:p>
        </w:tc>
        <w:tc>
          <w:tcPr>
            <w:tcW w:type="pct" w:w="692"/>
            <w:vAlign w:val="center"/>
          </w:tcPr>
          <w:tcPr>
            <w:shd w:fill="d9d9d9"/>
          </w:tcPr>
          <w:p>
            <w:pPr>
              <w:spacing w:line="240" w:lineRule="auto"/>
              <w:jc w:val="center"/>
            </w:pPr>
            <w:r>
              <w:rPr>
                <w:rFonts w:ascii="宋体" w:hAnsi="宋体" w:cs="宋体" w:eastAsia="宋体"/>
                <w:b w:val="false"/>
              </w:rPr>
              <w:t>②-④</w:t>
            </w:r>
          </w:p>
        </w:tc>
      </w:tr>
      <w:tr>
        <w:tc>
          <w:tcPr>
            <w:tcW/>
            <w:vAlign w:val="center"/>
          </w:tcPr>
          <w:p>
            <w:pPr>
              <w:spacing w:line="240" w:lineRule="auto"/>
              <w:jc w:val="left"/>
            </w:pPr>
            <w:r>
              <w:rPr>
                <w:rFonts w:ascii="宋体" w:hAnsi="宋体" w:cs="宋体" w:eastAsia="宋体"/>
                <w:b w:val="false"/>
              </w:rPr>
              <w:t>过去三个月</w:t>
            </w:r>
          </w:p>
        </w:tc>
        <w:tc>
          <w:tcPr>
            <w:tcW/>
            <w:vAlign w:val="center"/>
          </w:tcPr>
          <w:p>
            <w:pPr>
              <w:spacing w:line="240" w:lineRule="auto"/>
              <w:jc w:val="right"/>
            </w:pPr>
            <w:r>
              <w:rPr>
                <w:rFonts w:ascii="宋体" w:hAnsi="宋体" w:cs="宋体" w:eastAsia="宋体"/>
                <w:b w:val="false"/>
              </w:rPr>
              <w:t>-4.61%</w:t>
            </w:r>
          </w:p>
        </w:tc>
        <w:tc>
          <w:tcPr>
            <w:tcW/>
            <w:vAlign w:val="center"/>
          </w:tcPr>
          <w:p>
            <w:pPr>
              <w:spacing w:line="240" w:lineRule="auto"/>
              <w:jc w:val="right"/>
            </w:pPr>
            <w:r>
              <w:rPr>
                <w:rFonts w:ascii="宋体" w:hAnsi="宋体" w:cs="宋体" w:eastAsia="宋体"/>
                <w:b w:val="false"/>
              </w:rPr>
              <w:t>2.10%</w:t>
            </w:r>
          </w:p>
        </w:tc>
        <w:tc>
          <w:tcPr>
            <w:tcW/>
            <w:vAlign w:val="center"/>
          </w:tcPr>
          <w:p>
            <w:pPr>
              <w:spacing w:line="240" w:lineRule="auto"/>
              <w:jc w:val="right"/>
            </w:pPr>
            <w:r>
              <w:rPr>
                <w:rFonts w:ascii="宋体" w:hAnsi="宋体" w:cs="宋体" w:eastAsia="宋体"/>
                <w:b w:val="false"/>
              </w:rPr>
              <w:t>16.79%</w:t>
            </w:r>
          </w:p>
        </w:tc>
        <w:tc>
          <w:tcPr>
            <w:tcW/>
            <w:vAlign w:val="center"/>
          </w:tcPr>
          <w:p>
            <w:pPr>
              <w:spacing w:line="240" w:lineRule="auto"/>
              <w:jc w:val="right"/>
            </w:pPr>
            <w:r>
              <w:rPr>
                <w:rFonts w:ascii="宋体" w:hAnsi="宋体" w:cs="宋体" w:eastAsia="宋体"/>
                <w:b w:val="false"/>
              </w:rPr>
              <w:t>0.77%</w:t>
            </w:r>
          </w:p>
        </w:tc>
        <w:tc>
          <w:tcPr>
            <w:tcW/>
            <w:vAlign w:val="center"/>
          </w:tcPr>
          <w:p>
            <w:pPr>
              <w:spacing w:line="240" w:lineRule="auto"/>
              <w:jc w:val="right"/>
            </w:pPr>
            <w:r>
              <w:rPr>
                <w:rFonts w:ascii="宋体" w:hAnsi="宋体" w:cs="宋体" w:eastAsia="宋体"/>
                <w:b w:val="false"/>
              </w:rPr>
              <w:t>-21.40%</w:t>
            </w:r>
          </w:p>
        </w:tc>
        <w:tc>
          <w:tcPr>
            <w:tcW/>
            <w:vAlign w:val="center"/>
          </w:tcPr>
          <w:p>
            <w:pPr>
              <w:spacing w:line="240" w:lineRule="auto"/>
              <w:jc w:val="right"/>
            </w:pPr>
            <w:r>
              <w:rPr>
                <w:rFonts w:ascii="宋体" w:hAnsi="宋体" w:cs="宋体" w:eastAsia="宋体"/>
                <w:b w:val="false"/>
              </w:rPr>
              <w:t>1.33%</w:t>
            </w:r>
          </w:p>
        </w:tc>
      </w:tr>
      <w:tr>
        <w:tc>
          <w:tcPr>
            <w:tcW/>
            <w:vAlign w:val="center"/>
          </w:tcPr>
          <w:p>
            <w:pPr>
              <w:spacing w:line="240" w:lineRule="auto"/>
              <w:jc w:val="left"/>
            </w:pPr>
            <w:r>
              <w:rPr>
                <w:rFonts w:ascii="宋体" w:hAnsi="宋体" w:cs="宋体" w:eastAsia="宋体"/>
                <w:b w:val="false"/>
              </w:rPr>
              <w:t>过去六个月</w:t>
            </w:r>
          </w:p>
        </w:tc>
        <w:tc>
          <w:tcPr>
            <w:tcW/>
            <w:vAlign w:val="center"/>
          </w:tcPr>
          <w:p>
            <w:pPr>
              <w:spacing w:line="240" w:lineRule="auto"/>
              <w:jc w:val="right"/>
            </w:pPr>
            <w:r>
              <w:rPr>
                <w:rFonts w:ascii="宋体" w:hAnsi="宋体" w:cs="宋体" w:eastAsia="宋体"/>
                <w:b w:val="false"/>
              </w:rPr>
              <w:t>2.59%</w:t>
            </w:r>
          </w:p>
        </w:tc>
        <w:tc>
          <w:tcPr>
            <w:tcW/>
            <w:vAlign w:val="center"/>
          </w:tcPr>
          <w:p>
            <w:pPr>
              <w:spacing w:line="240" w:lineRule="auto"/>
              <w:jc w:val="right"/>
            </w:pPr>
            <w:r>
              <w:rPr>
                <w:rFonts w:ascii="宋体" w:hAnsi="宋体" w:cs="宋体" w:eastAsia="宋体"/>
                <w:b w:val="false"/>
              </w:rPr>
              <w:t>2.01%</w:t>
            </w:r>
          </w:p>
        </w:tc>
        <w:tc>
          <w:tcPr>
            <w:tcW/>
            <w:vAlign w:val="center"/>
          </w:tcPr>
          <w:p>
            <w:pPr>
              <w:spacing w:line="240" w:lineRule="auto"/>
              <w:jc w:val="right"/>
            </w:pPr>
            <w:r>
              <w:rPr>
                <w:rFonts w:ascii="宋体" w:hAnsi="宋体" w:cs="宋体" w:eastAsia="宋体"/>
                <w:b w:val="false"/>
              </w:rPr>
              <w:t>18.69%</w:t>
            </w:r>
          </w:p>
        </w:tc>
        <w:tc>
          <w:tcPr>
            <w:tcW/>
            <w:vAlign w:val="center"/>
          </w:tcPr>
          <w:p>
            <w:pPr>
              <w:spacing w:line="240" w:lineRule="auto"/>
              <w:jc w:val="right"/>
            </w:pPr>
            <w:r>
              <w:rPr>
                <w:rFonts w:ascii="宋体" w:hAnsi="宋体" w:cs="宋体" w:eastAsia="宋体"/>
                <w:b w:val="false"/>
              </w:rPr>
              <w:t>0.96%</w:t>
            </w:r>
          </w:p>
        </w:tc>
        <w:tc>
          <w:tcPr>
            <w:tcW/>
            <w:vAlign w:val="center"/>
          </w:tcPr>
          <w:p>
            <w:pPr>
              <w:spacing w:line="240" w:lineRule="auto"/>
              <w:jc w:val="right"/>
            </w:pPr>
            <w:r>
              <w:rPr>
                <w:rFonts w:ascii="宋体" w:hAnsi="宋体" w:cs="宋体" w:eastAsia="宋体"/>
                <w:b w:val="false"/>
              </w:rPr>
              <w:t>-16.10%</w:t>
            </w:r>
          </w:p>
        </w:tc>
        <w:tc>
          <w:tcPr>
            <w:tcW/>
            <w:vAlign w:val="center"/>
          </w:tcPr>
          <w:p>
            <w:pPr>
              <w:spacing w:line="240" w:lineRule="auto"/>
              <w:jc w:val="right"/>
            </w:pPr>
            <w:r>
              <w:rPr>
                <w:rFonts w:ascii="宋体" w:hAnsi="宋体" w:cs="宋体" w:eastAsia="宋体"/>
                <w:b w:val="false"/>
              </w:rPr>
              <w:t>1.05%</w:t>
            </w:r>
          </w:p>
        </w:tc>
      </w:tr>
      <w:tr>
        <w:tc>
          <w:tcPr>
            <w:tcW/>
            <w:vAlign w:val="center"/>
          </w:tcPr>
          <w:p>
            <w:pPr>
              <w:spacing w:line="240" w:lineRule="auto"/>
              <w:jc w:val="left"/>
            </w:pPr>
            <w:r>
              <w:rPr>
                <w:rFonts w:ascii="宋体" w:hAnsi="宋体" w:cs="宋体" w:eastAsia="宋体"/>
                <w:b w:val="false"/>
              </w:rPr>
              <w:t>过去一年</w:t>
            </w:r>
          </w:p>
        </w:tc>
        <w:tc>
          <w:tcPr>
            <w:tcW/>
            <w:vAlign w:val="center"/>
          </w:tcPr>
          <w:p>
            <w:pPr>
              <w:spacing w:line="240" w:lineRule="auto"/>
              <w:jc w:val="right"/>
            </w:pPr>
            <w:r>
              <w:rPr>
                <w:rFonts w:ascii="宋体" w:hAnsi="宋体" w:cs="宋体" w:eastAsia="宋体"/>
                <w:b w:val="false"/>
              </w:rPr>
              <w:t>-2.40%</w:t>
            </w:r>
          </w:p>
        </w:tc>
        <w:tc>
          <w:tcPr>
            <w:tcW/>
            <w:vAlign w:val="center"/>
          </w:tcPr>
          <w:p>
            <w:pPr>
              <w:spacing w:line="240" w:lineRule="auto"/>
              <w:jc w:val="right"/>
            </w:pPr>
            <w:r>
              <w:rPr>
                <w:rFonts w:ascii="宋体" w:hAnsi="宋体" w:cs="宋体" w:eastAsia="宋体"/>
                <w:b w:val="false"/>
              </w:rPr>
              <w:t>2.14%</w:t>
            </w:r>
          </w:p>
        </w:tc>
        <w:tc>
          <w:tcPr>
            <w:tcW/>
            <w:vAlign w:val="center"/>
          </w:tcPr>
          <w:p>
            <w:pPr>
              <w:spacing w:line="240" w:lineRule="auto"/>
              <w:jc w:val="right"/>
            </w:pPr>
            <w:r>
              <w:rPr>
                <w:rFonts w:ascii="宋体" w:hAnsi="宋体" w:cs="宋体" w:eastAsia="宋体"/>
                <w:b w:val="false"/>
              </w:rPr>
              <w:t>18.40%</w:t>
            </w:r>
          </w:p>
        </w:tc>
        <w:tc>
          <w:tcPr>
            <w:tcW/>
            <w:vAlign w:val="center"/>
          </w:tcPr>
          <w:p>
            <w:pPr>
              <w:spacing w:line="240" w:lineRule="auto"/>
              <w:jc w:val="right"/>
            </w:pPr>
            <w:r>
              <w:rPr>
                <w:rFonts w:ascii="宋体" w:hAnsi="宋体" w:cs="宋体" w:eastAsia="宋体"/>
                <w:b w:val="false"/>
              </w:rPr>
              <w:t>1.11%</w:t>
            </w:r>
          </w:p>
        </w:tc>
        <w:tc>
          <w:tcPr>
            <w:tcW/>
            <w:vAlign w:val="center"/>
          </w:tcPr>
          <w:p>
            <w:pPr>
              <w:spacing w:line="240" w:lineRule="auto"/>
              <w:jc w:val="right"/>
            </w:pPr>
            <w:r>
              <w:rPr>
                <w:rFonts w:ascii="宋体" w:hAnsi="宋体" w:cs="宋体" w:eastAsia="宋体"/>
                <w:b w:val="false"/>
              </w:rPr>
              <w:t>-20.80%</w:t>
            </w:r>
          </w:p>
        </w:tc>
        <w:tc>
          <w:tcPr>
            <w:tcW/>
            <w:vAlign w:val="center"/>
          </w:tcPr>
          <w:p>
            <w:pPr>
              <w:spacing w:line="240" w:lineRule="auto"/>
              <w:jc w:val="right"/>
            </w:pPr>
            <w:r>
              <w:rPr>
                <w:rFonts w:ascii="宋体" w:hAnsi="宋体" w:cs="宋体" w:eastAsia="宋体"/>
                <w:b w:val="false"/>
              </w:rPr>
              <w:t>1.03%</w:t>
            </w:r>
          </w:p>
        </w:tc>
      </w:tr>
      <w:tr>
        <w:tc>
          <w:tcPr>
            <w:tcW/>
            <w:vAlign w:val="center"/>
          </w:tcPr>
          <w:p>
            <w:pPr>
              <w:spacing w:line="240" w:lineRule="auto"/>
              <w:jc w:val="left"/>
            </w:pPr>
            <w:r>
              <w:rPr>
                <w:rFonts w:ascii="宋体" w:hAnsi="宋体" w:cs="宋体" w:eastAsia="宋体"/>
                <w:b w:val="false"/>
              </w:rPr>
              <w:t>过去三年</w:t>
            </w:r>
          </w:p>
        </w:tc>
        <w:tc>
          <w:tcPr>
            <w:tcW/>
            <w:vAlign w:val="center"/>
          </w:tcPr>
          <w:p>
            <w:pPr>
              <w:spacing w:line="240" w:lineRule="auto"/>
              <w:jc w:val="right"/>
            </w:pPr>
            <w:r>
              <w:rPr>
                <w:rFonts w:ascii="宋体" w:hAnsi="宋体" w:cs="宋体" w:eastAsia="宋体"/>
                <w:b w:val="false"/>
              </w:rPr>
              <w:t>-39.67%</w:t>
            </w:r>
          </w:p>
        </w:tc>
        <w:tc>
          <w:tcPr>
            <w:tcW/>
            <w:vAlign w:val="center"/>
          </w:tcPr>
          <w:p>
            <w:pPr>
              <w:spacing w:line="240" w:lineRule="auto"/>
              <w:jc w:val="right"/>
            </w:pPr>
            <w:r>
              <w:rPr>
                <w:rFonts w:ascii="宋体" w:hAnsi="宋体" w:cs="宋体" w:eastAsia="宋体"/>
                <w:b w:val="false"/>
              </w:rPr>
              <w:t>1.95%</w:t>
            </w:r>
          </w:p>
        </w:tc>
        <w:tc>
          <w:tcPr>
            <w:tcW/>
            <w:vAlign w:val="center"/>
          </w:tcPr>
          <w:p>
            <w:pPr>
              <w:spacing w:line="240" w:lineRule="auto"/>
              <w:jc w:val="right"/>
            </w:pPr>
            <w:r>
              <w:rPr>
                <w:rFonts w:ascii="宋体" w:hAnsi="宋体" w:cs="宋体" w:eastAsia="宋体"/>
                <w:b w:val="false"/>
              </w:rPr>
              <w:t>26.84%</w:t>
            </w:r>
          </w:p>
        </w:tc>
        <w:tc>
          <w:tcPr>
            <w:tcW/>
            <w:vAlign w:val="center"/>
          </w:tcPr>
          <w:p>
            <w:pPr>
              <w:spacing w:line="240" w:lineRule="auto"/>
              <w:jc w:val="right"/>
            </w:pPr>
            <w:r>
              <w:rPr>
                <w:rFonts w:ascii="宋体" w:hAnsi="宋体" w:cs="宋体" w:eastAsia="宋体"/>
                <w:b w:val="false"/>
              </w:rPr>
              <w:t>1.01%</w:t>
            </w:r>
          </w:p>
        </w:tc>
        <w:tc>
          <w:tcPr>
            <w:tcW/>
            <w:vAlign w:val="center"/>
          </w:tcPr>
          <w:p>
            <w:pPr>
              <w:spacing w:line="240" w:lineRule="auto"/>
              <w:jc w:val="right"/>
            </w:pPr>
            <w:r>
              <w:rPr>
                <w:rFonts w:ascii="宋体" w:hAnsi="宋体" w:cs="宋体" w:eastAsia="宋体"/>
                <w:b w:val="false"/>
              </w:rPr>
              <w:t>-66.51%</w:t>
            </w:r>
          </w:p>
        </w:tc>
        <w:tc>
          <w:tcPr>
            <w:tcW/>
            <w:vAlign w:val="center"/>
          </w:tcPr>
          <w:p>
            <w:pPr>
              <w:spacing w:line="240" w:lineRule="auto"/>
              <w:jc w:val="right"/>
            </w:pPr>
            <w:r>
              <w:rPr>
                <w:rFonts w:ascii="宋体" w:hAnsi="宋体" w:cs="宋体" w:eastAsia="宋体"/>
                <w:b w:val="false"/>
              </w:rPr>
              <w:t>0.94%</w:t>
            </w:r>
          </w:p>
        </w:tc>
      </w:tr>
      <w:tr>
        <w:tc>
          <w:tcPr>
            <w:tcW/>
            <w:vAlign w:val="center"/>
          </w:tcPr>
          <w:p>
            <w:pPr>
              <w:spacing w:line="240" w:lineRule="auto"/>
              <w:jc w:val="left"/>
            </w:pPr>
            <w:r>
              <w:rPr>
                <w:rFonts w:ascii="宋体" w:hAnsi="宋体" w:cs="宋体" w:eastAsia="宋体"/>
                <w:b w:val="false"/>
              </w:rPr>
              <w:t>自基金合同生效起至今</w:t>
            </w:r>
          </w:p>
        </w:tc>
        <w:tc>
          <w:tcPr>
            <w:tcW/>
            <w:vAlign w:val="center"/>
          </w:tcPr>
          <w:p>
            <w:pPr>
              <w:spacing w:line="240" w:lineRule="auto"/>
              <w:jc w:val="right"/>
            </w:pPr>
            <w:r>
              <w:rPr>
                <w:rFonts w:ascii="宋体" w:hAnsi="宋体" w:cs="宋体" w:eastAsia="宋体"/>
                <w:b w:val="false"/>
              </w:rPr>
              <w:t>-54.85%</w:t>
            </w:r>
          </w:p>
        </w:tc>
        <w:tc>
          <w:tcPr>
            <w:tcW/>
            <w:vAlign w:val="center"/>
          </w:tcPr>
          <w:p>
            <w:pPr>
              <w:spacing w:line="240" w:lineRule="auto"/>
              <w:jc w:val="right"/>
            </w:pPr>
            <w:r>
              <w:rPr>
                <w:rFonts w:ascii="宋体" w:hAnsi="宋体" w:cs="宋体" w:eastAsia="宋体"/>
                <w:b w:val="false"/>
              </w:rPr>
              <w:t>1.83%</w:t>
            </w:r>
          </w:p>
        </w:tc>
        <w:tc>
          <w:tcPr>
            <w:tcW/>
            <w:vAlign w:val="center"/>
          </w:tcPr>
          <w:p>
            <w:pPr>
              <w:spacing w:line="240" w:lineRule="auto"/>
              <w:jc w:val="right"/>
            </w:pPr>
            <w:r>
              <w:rPr>
                <w:rFonts w:ascii="宋体" w:hAnsi="宋体" w:cs="宋体" w:eastAsia="宋体"/>
                <w:b w:val="false"/>
              </w:rPr>
              <w:t>0.52%</w:t>
            </w:r>
          </w:p>
        </w:tc>
        <w:tc>
          <w:tcPr>
            <w:tcW/>
            <w:vAlign w:val="center"/>
          </w:tcPr>
          <w:p>
            <w:pPr>
              <w:spacing w:line="240" w:lineRule="auto"/>
              <w:jc w:val="right"/>
            </w:pPr>
            <w:r>
              <w:rPr>
                <w:rFonts w:ascii="宋体" w:hAnsi="宋体" w:cs="宋体" w:eastAsia="宋体"/>
                <w:b w:val="false"/>
              </w:rPr>
              <w:t>1.01%</w:t>
            </w:r>
          </w:p>
        </w:tc>
        <w:tc>
          <w:tcPr>
            <w:tcW/>
            <w:vAlign w:val="center"/>
          </w:tcPr>
          <w:p>
            <w:pPr>
              <w:spacing w:line="240" w:lineRule="auto"/>
              <w:jc w:val="right"/>
            </w:pPr>
            <w:r>
              <w:rPr>
                <w:rFonts w:ascii="宋体" w:hAnsi="宋体" w:cs="宋体" w:eastAsia="宋体"/>
                <w:b w:val="false"/>
              </w:rPr>
              <w:t>-55.37%</w:t>
            </w:r>
          </w:p>
        </w:tc>
        <w:tc>
          <w:tcPr>
            <w:tcW/>
            <w:vAlign w:val="center"/>
          </w:tcPr>
          <w:p>
            <w:pPr>
              <w:spacing w:line="240" w:lineRule="auto"/>
              <w:jc w:val="right"/>
            </w:pPr>
            <w:r>
              <w:rPr>
                <w:rFonts w:ascii="宋体" w:hAnsi="宋体" w:cs="宋体" w:eastAsia="宋体"/>
                <w:b w:val="false"/>
              </w:rPr>
              <w:t>0.82%</w:t>
            </w:r>
          </w:p>
        </w:tc>
      </w:tr>
    </w:tbl>
    <w:p>
      <w:pPr>
        <w:jc w:val="left"/>
      </w:pPr>
      <w:r>
        <w:rPr>
          <w:rFonts w:ascii="宋体" w:hAnsi="宋体" w:cs="宋体" w:eastAsia="宋体"/>
          <w:b w:val="true"/>
        </w:rPr>
        <w:t>东方阿尔法招阳混合E净值表现</w:t>
      </w:r>
    </w:p>
    <w:tbl>
      <w:tblPr>
        <w:tblW w:w="5000" w:type="pct"/>
        <w:tblBorders>
          <w:top w:val="single" w:sz="4"/>
          <w:left w:val="single" w:sz="4"/>
          <w:bottom w:val="single" w:sz="4"/>
          <w:right w:val="single" w:sz="4"/>
          <w:insideH w:val="single" w:sz="4"/>
          <w:insideV w:val="single" w:sz="4"/>
        </w:tblBorders>
      </w:tblPr>
      <w:tblGrid>
        <w:gridCol w:w="1295"/>
        <w:gridCol w:w="1295"/>
        <w:gridCol w:w="1295"/>
        <w:gridCol w:w="1295"/>
        <w:gridCol w:w="1295"/>
        <w:gridCol w:w="1295"/>
        <w:gridCol w:w="1295"/>
      </w:tblGrid>
      <w:tr>
        <w:tc>
          <w:tcPr>
            <w:tcW w:type="pct" w:w="846"/>
            <w:vAlign w:val="center"/>
          </w:tcPr>
          <w:tcPr>
            <w:shd w:fill="d9d9d9"/>
          </w:tcPr>
          <w:p>
            <w:pPr>
              <w:spacing w:line="240" w:lineRule="auto"/>
              <w:jc w:val="center"/>
            </w:pPr>
            <w:r>
              <w:rPr>
                <w:rFonts w:ascii="宋体" w:hAnsi="宋体" w:cs="宋体" w:eastAsia="宋体"/>
                <w:b w:val="false"/>
              </w:rPr>
              <w:t>阶段</w:t>
            </w:r>
          </w:p>
        </w:tc>
        <w:tc>
          <w:tcPr>
            <w:tcW w:type="pct" w:w="692"/>
            <w:vAlign w:val="center"/>
          </w:tcPr>
          <w:tcPr>
            <w:shd w:fill="d9d9d9"/>
          </w:tcPr>
          <w:p>
            <w:pPr>
              <w:spacing w:line="240" w:lineRule="auto"/>
              <w:jc w:val="center"/>
            </w:pPr>
            <w:r>
              <w:rPr>
                <w:rFonts w:ascii="宋体" w:hAnsi="宋体" w:cs="宋体" w:eastAsia="宋体"/>
                <w:b w:val="false"/>
              </w:rPr>
              <w:t>净值增长率①</w:t>
            </w:r>
          </w:p>
        </w:tc>
        <w:tc>
          <w:tcPr>
            <w:tcW w:type="pct" w:w="692"/>
            <w:vAlign w:val="center"/>
          </w:tcPr>
          <w:tcPr>
            <w:shd w:fill="d9d9d9"/>
          </w:tcPr>
          <w:p>
            <w:pPr>
              <w:spacing w:line="240" w:lineRule="auto"/>
              <w:jc w:val="center"/>
            </w:pPr>
            <w:r>
              <w:rPr>
                <w:rFonts w:ascii="宋体" w:hAnsi="宋体" w:cs="宋体" w:eastAsia="宋体"/>
                <w:b w:val="false"/>
              </w:rPr>
              <w:t>净值增长率标准差②</w:t>
            </w:r>
          </w:p>
        </w:tc>
        <w:tc>
          <w:tcPr>
            <w:tcW w:type="pct" w:w="692"/>
            <w:vAlign w:val="center"/>
          </w:tcPr>
          <w:tcPr>
            <w:shd w:fill="d9d9d9"/>
          </w:tcPr>
          <w:p>
            <w:pPr>
              <w:spacing w:line="240" w:lineRule="auto"/>
              <w:jc w:val="center"/>
            </w:pPr>
            <w:r>
              <w:rPr>
                <w:rFonts w:ascii="宋体" w:hAnsi="宋体" w:cs="宋体" w:eastAsia="宋体"/>
                <w:b w:val="false"/>
              </w:rPr>
              <w:t>业绩比较基准收益率③</w:t>
            </w:r>
          </w:p>
        </w:tc>
        <w:tc>
          <w:tcPr>
            <w:tcW w:type="pct" w:w="692"/>
            <w:vAlign w:val="center"/>
          </w:tcPr>
          <w:tcPr>
            <w:shd w:fill="d9d9d9"/>
          </w:tcPr>
          <w:p>
            <w:pPr>
              <w:spacing w:line="240" w:lineRule="auto"/>
              <w:jc w:val="center"/>
            </w:pPr>
            <w:r>
              <w:rPr>
                <w:rFonts w:ascii="宋体" w:hAnsi="宋体" w:cs="宋体" w:eastAsia="宋体"/>
                <w:b w:val="false"/>
              </w:rPr>
              <w:t>业绩比较基准收益率标准差④</w:t>
            </w:r>
          </w:p>
        </w:tc>
        <w:tc>
          <w:tcPr>
            <w:tcW w:type="pct" w:w="692"/>
            <w:vAlign w:val="center"/>
          </w:tcPr>
          <w:tcPr>
            <w:shd w:fill="d9d9d9"/>
          </w:tcPr>
          <w:p>
            <w:pPr>
              <w:spacing w:line="240" w:lineRule="auto"/>
              <w:jc w:val="center"/>
            </w:pPr>
            <w:r>
              <w:rPr>
                <w:rFonts w:ascii="宋体" w:hAnsi="宋体" w:cs="宋体" w:eastAsia="宋体"/>
                <w:b w:val="false"/>
              </w:rPr>
              <w:t>①-③</w:t>
            </w:r>
          </w:p>
        </w:tc>
        <w:tc>
          <w:tcPr>
            <w:tcW w:type="pct" w:w="692"/>
            <w:vAlign w:val="center"/>
          </w:tcPr>
          <w:tcPr>
            <w:shd w:fill="d9d9d9"/>
          </w:tcPr>
          <w:p>
            <w:pPr>
              <w:spacing w:line="240" w:lineRule="auto"/>
              <w:jc w:val="center"/>
            </w:pPr>
            <w:r>
              <w:rPr>
                <w:rFonts w:ascii="宋体" w:hAnsi="宋体" w:cs="宋体" w:eastAsia="宋体"/>
                <w:b w:val="false"/>
              </w:rPr>
              <w:t>②-④</w:t>
            </w:r>
          </w:p>
        </w:tc>
      </w:tr>
      <w:tr>
        <w:tc>
          <w:tcPr>
            <w:tcW/>
            <w:vAlign w:val="center"/>
          </w:tcPr>
          <w:p>
            <w:pPr>
              <w:spacing w:line="240" w:lineRule="auto"/>
              <w:jc w:val="left"/>
            </w:pPr>
            <w:r>
              <w:rPr>
                <w:rFonts w:ascii="宋体" w:hAnsi="宋体" w:cs="宋体" w:eastAsia="宋体"/>
                <w:b w:val="false"/>
              </w:rPr>
              <w:t>过去三个月</w:t>
            </w:r>
          </w:p>
        </w:tc>
        <w:tc>
          <w:tcPr>
            <w:tcW/>
            <w:vAlign w:val="center"/>
          </w:tcPr>
          <w:p>
            <w:pPr>
              <w:spacing w:line="240" w:lineRule="auto"/>
              <w:jc w:val="right"/>
            </w:pPr>
            <w:r>
              <w:rPr>
                <w:rFonts w:ascii="宋体" w:hAnsi="宋体" w:cs="宋体" w:eastAsia="宋体"/>
                <w:b w:val="false"/>
              </w:rPr>
              <w:t>-4.55%</w:t>
            </w:r>
          </w:p>
        </w:tc>
        <w:tc>
          <w:tcPr>
            <w:tcW/>
            <w:vAlign w:val="center"/>
          </w:tcPr>
          <w:p>
            <w:pPr>
              <w:spacing w:line="240" w:lineRule="auto"/>
              <w:jc w:val="right"/>
            </w:pPr>
            <w:r>
              <w:rPr>
                <w:rFonts w:ascii="宋体" w:hAnsi="宋体" w:cs="宋体" w:eastAsia="宋体"/>
                <w:b w:val="false"/>
              </w:rPr>
              <w:t>2.10%</w:t>
            </w:r>
          </w:p>
        </w:tc>
        <w:tc>
          <w:tcPr>
            <w:tcW/>
            <w:vAlign w:val="center"/>
          </w:tcPr>
          <w:p>
            <w:pPr>
              <w:spacing w:line="240" w:lineRule="auto"/>
              <w:jc w:val="right"/>
            </w:pPr>
            <w:r>
              <w:rPr>
                <w:rFonts w:ascii="宋体" w:hAnsi="宋体" w:cs="宋体" w:eastAsia="宋体"/>
                <w:b w:val="false"/>
              </w:rPr>
              <w:t>16.79%</w:t>
            </w:r>
          </w:p>
        </w:tc>
        <w:tc>
          <w:tcPr>
            <w:tcW/>
            <w:vAlign w:val="center"/>
          </w:tcPr>
          <w:p>
            <w:pPr>
              <w:spacing w:line="240" w:lineRule="auto"/>
              <w:jc w:val="right"/>
            </w:pPr>
            <w:r>
              <w:rPr>
                <w:rFonts w:ascii="宋体" w:hAnsi="宋体" w:cs="宋体" w:eastAsia="宋体"/>
                <w:b w:val="false"/>
              </w:rPr>
              <w:t>0.77%</w:t>
            </w:r>
          </w:p>
        </w:tc>
        <w:tc>
          <w:tcPr>
            <w:tcW/>
            <w:vAlign w:val="center"/>
          </w:tcPr>
          <w:p>
            <w:pPr>
              <w:spacing w:line="240" w:lineRule="auto"/>
              <w:jc w:val="right"/>
            </w:pPr>
            <w:r>
              <w:rPr>
                <w:rFonts w:ascii="宋体" w:hAnsi="宋体" w:cs="宋体" w:eastAsia="宋体"/>
                <w:b w:val="false"/>
              </w:rPr>
              <w:t>-21.34%</w:t>
            </w:r>
          </w:p>
        </w:tc>
        <w:tc>
          <w:tcPr>
            <w:tcW/>
            <w:vAlign w:val="center"/>
          </w:tcPr>
          <w:p>
            <w:pPr>
              <w:spacing w:line="240" w:lineRule="auto"/>
              <w:jc w:val="right"/>
            </w:pPr>
            <w:r>
              <w:rPr>
                <w:rFonts w:ascii="宋体" w:hAnsi="宋体" w:cs="宋体" w:eastAsia="宋体"/>
                <w:b w:val="false"/>
              </w:rPr>
              <w:t>1.33%</w:t>
            </w:r>
          </w:p>
        </w:tc>
      </w:tr>
      <w:tr>
        <w:tc>
          <w:tcPr>
            <w:tcW/>
            <w:vAlign w:val="center"/>
          </w:tcPr>
          <w:p>
            <w:pPr>
              <w:spacing w:line="240" w:lineRule="auto"/>
              <w:jc w:val="left"/>
            </w:pPr>
            <w:r>
              <w:rPr>
                <w:rFonts w:ascii="宋体" w:hAnsi="宋体" w:cs="宋体" w:eastAsia="宋体"/>
                <w:b w:val="false"/>
              </w:rPr>
              <w:t>过去六个月</w:t>
            </w:r>
          </w:p>
        </w:tc>
        <w:tc>
          <w:tcPr>
            <w:tcW/>
            <w:vAlign w:val="center"/>
          </w:tcPr>
          <w:p>
            <w:pPr>
              <w:spacing w:line="240" w:lineRule="auto"/>
              <w:jc w:val="right"/>
            </w:pPr>
            <w:r>
              <w:rPr>
                <w:rFonts w:ascii="宋体" w:hAnsi="宋体" w:cs="宋体" w:eastAsia="宋体"/>
                <w:b w:val="false"/>
              </w:rPr>
              <w:t>2.73%</w:t>
            </w:r>
          </w:p>
        </w:tc>
        <w:tc>
          <w:tcPr>
            <w:tcW/>
            <w:vAlign w:val="center"/>
          </w:tcPr>
          <w:p>
            <w:pPr>
              <w:spacing w:line="240" w:lineRule="auto"/>
              <w:jc w:val="right"/>
            </w:pPr>
            <w:r>
              <w:rPr>
                <w:rFonts w:ascii="宋体" w:hAnsi="宋体" w:cs="宋体" w:eastAsia="宋体"/>
                <w:b w:val="false"/>
              </w:rPr>
              <w:t>2.01%</w:t>
            </w:r>
          </w:p>
        </w:tc>
        <w:tc>
          <w:tcPr>
            <w:tcW/>
            <w:vAlign w:val="center"/>
          </w:tcPr>
          <w:p>
            <w:pPr>
              <w:spacing w:line="240" w:lineRule="auto"/>
              <w:jc w:val="right"/>
            </w:pPr>
            <w:r>
              <w:rPr>
                <w:rFonts w:ascii="宋体" w:hAnsi="宋体" w:cs="宋体" w:eastAsia="宋体"/>
                <w:b w:val="false"/>
              </w:rPr>
              <w:t>18.69%</w:t>
            </w:r>
          </w:p>
        </w:tc>
        <w:tc>
          <w:tcPr>
            <w:tcW/>
            <w:vAlign w:val="center"/>
          </w:tcPr>
          <w:p>
            <w:pPr>
              <w:spacing w:line="240" w:lineRule="auto"/>
              <w:jc w:val="right"/>
            </w:pPr>
            <w:r>
              <w:rPr>
                <w:rFonts w:ascii="宋体" w:hAnsi="宋体" w:cs="宋体" w:eastAsia="宋体"/>
                <w:b w:val="false"/>
              </w:rPr>
              <w:t>0.96%</w:t>
            </w:r>
          </w:p>
        </w:tc>
        <w:tc>
          <w:tcPr>
            <w:tcW/>
            <w:vAlign w:val="center"/>
          </w:tcPr>
          <w:p>
            <w:pPr>
              <w:spacing w:line="240" w:lineRule="auto"/>
              <w:jc w:val="right"/>
            </w:pPr>
            <w:r>
              <w:rPr>
                <w:rFonts w:ascii="宋体" w:hAnsi="宋体" w:cs="宋体" w:eastAsia="宋体"/>
                <w:b w:val="false"/>
              </w:rPr>
              <w:t>-15.96%</w:t>
            </w:r>
          </w:p>
        </w:tc>
        <w:tc>
          <w:tcPr>
            <w:tcW/>
            <w:vAlign w:val="center"/>
          </w:tcPr>
          <w:p>
            <w:pPr>
              <w:spacing w:line="240" w:lineRule="auto"/>
              <w:jc w:val="right"/>
            </w:pPr>
            <w:r>
              <w:rPr>
                <w:rFonts w:ascii="宋体" w:hAnsi="宋体" w:cs="宋体" w:eastAsia="宋体"/>
                <w:b w:val="false"/>
              </w:rPr>
              <w:t>1.05%</w:t>
            </w:r>
          </w:p>
        </w:tc>
      </w:tr>
      <w:tr>
        <w:tc>
          <w:tcPr>
            <w:tcW/>
            <w:vAlign w:val="center"/>
          </w:tcPr>
          <w:p>
            <w:pPr>
              <w:spacing w:line="240" w:lineRule="auto"/>
              <w:jc w:val="left"/>
            </w:pPr>
            <w:r>
              <w:rPr>
                <w:rFonts w:ascii="宋体" w:hAnsi="宋体" w:cs="宋体" w:eastAsia="宋体"/>
                <w:b w:val="false"/>
              </w:rPr>
              <w:t>过去一年</w:t>
            </w:r>
          </w:p>
        </w:tc>
        <w:tc>
          <w:tcPr>
            <w:tcW/>
            <w:vAlign w:val="center"/>
          </w:tcPr>
          <w:p>
            <w:pPr>
              <w:spacing w:line="240" w:lineRule="auto"/>
              <w:jc w:val="right"/>
            </w:pPr>
            <w:r>
              <w:rPr>
                <w:rFonts w:ascii="宋体" w:hAnsi="宋体" w:cs="宋体" w:eastAsia="宋体"/>
                <w:b w:val="false"/>
              </w:rPr>
              <w:t>-2.17%</w:t>
            </w:r>
          </w:p>
        </w:tc>
        <w:tc>
          <w:tcPr>
            <w:tcW/>
            <w:vAlign w:val="center"/>
          </w:tcPr>
          <w:p>
            <w:pPr>
              <w:spacing w:line="240" w:lineRule="auto"/>
              <w:jc w:val="right"/>
            </w:pPr>
            <w:r>
              <w:rPr>
                <w:rFonts w:ascii="宋体" w:hAnsi="宋体" w:cs="宋体" w:eastAsia="宋体"/>
                <w:b w:val="false"/>
              </w:rPr>
              <w:t>2.14%</w:t>
            </w:r>
          </w:p>
        </w:tc>
        <w:tc>
          <w:tcPr>
            <w:tcW/>
            <w:vAlign w:val="center"/>
          </w:tcPr>
          <w:p>
            <w:pPr>
              <w:spacing w:line="240" w:lineRule="auto"/>
              <w:jc w:val="right"/>
            </w:pPr>
            <w:r>
              <w:rPr>
                <w:rFonts w:ascii="宋体" w:hAnsi="宋体" w:cs="宋体" w:eastAsia="宋体"/>
                <w:b w:val="false"/>
              </w:rPr>
              <w:t>18.40%</w:t>
            </w:r>
          </w:p>
        </w:tc>
        <w:tc>
          <w:tcPr>
            <w:tcW/>
            <w:vAlign w:val="center"/>
          </w:tcPr>
          <w:p>
            <w:pPr>
              <w:spacing w:line="240" w:lineRule="auto"/>
              <w:jc w:val="right"/>
            </w:pPr>
            <w:r>
              <w:rPr>
                <w:rFonts w:ascii="宋体" w:hAnsi="宋体" w:cs="宋体" w:eastAsia="宋体"/>
                <w:b w:val="false"/>
              </w:rPr>
              <w:t>1.11%</w:t>
            </w:r>
          </w:p>
        </w:tc>
        <w:tc>
          <w:tcPr>
            <w:tcW/>
            <w:vAlign w:val="center"/>
          </w:tcPr>
          <w:p>
            <w:pPr>
              <w:spacing w:line="240" w:lineRule="auto"/>
              <w:jc w:val="right"/>
            </w:pPr>
            <w:r>
              <w:rPr>
                <w:rFonts w:ascii="宋体" w:hAnsi="宋体" w:cs="宋体" w:eastAsia="宋体"/>
                <w:b w:val="false"/>
              </w:rPr>
              <w:t>-20.57%</w:t>
            </w:r>
          </w:p>
        </w:tc>
        <w:tc>
          <w:tcPr>
            <w:tcW/>
            <w:vAlign w:val="center"/>
          </w:tcPr>
          <w:p>
            <w:pPr>
              <w:spacing w:line="240" w:lineRule="auto"/>
              <w:jc w:val="right"/>
            </w:pPr>
            <w:r>
              <w:rPr>
                <w:rFonts w:ascii="宋体" w:hAnsi="宋体" w:cs="宋体" w:eastAsia="宋体"/>
                <w:b w:val="false"/>
              </w:rPr>
              <w:t>1.03%</w:t>
            </w:r>
          </w:p>
        </w:tc>
      </w:tr>
      <w:tr>
        <w:tc>
          <w:tcPr>
            <w:tcW/>
            <w:vAlign w:val="center"/>
          </w:tcPr>
          <w:p>
            <w:pPr>
              <w:spacing w:line="240" w:lineRule="auto"/>
              <w:jc w:val="left"/>
            </w:pPr>
            <w:r>
              <w:rPr>
                <w:rFonts w:ascii="宋体" w:hAnsi="宋体" w:cs="宋体" w:eastAsia="宋体"/>
                <w:b w:val="false"/>
              </w:rPr>
              <w:t>自基金合同生效起至今</w:t>
            </w:r>
          </w:p>
        </w:tc>
        <w:tc>
          <w:tcPr>
            <w:tcW/>
            <w:vAlign w:val="center"/>
          </w:tcPr>
          <w:p>
            <w:pPr>
              <w:spacing w:line="240" w:lineRule="auto"/>
              <w:jc w:val="right"/>
            </w:pPr>
            <w:r>
              <w:rPr>
                <w:rFonts w:ascii="宋体" w:hAnsi="宋体" w:cs="宋体" w:eastAsia="宋体"/>
                <w:b w:val="false"/>
              </w:rPr>
              <w:t>-28.93%</w:t>
            </w:r>
          </w:p>
        </w:tc>
        <w:tc>
          <w:tcPr>
            <w:tcW/>
            <w:vAlign w:val="center"/>
          </w:tcPr>
          <w:p>
            <w:pPr>
              <w:spacing w:line="240" w:lineRule="auto"/>
              <w:jc w:val="right"/>
            </w:pPr>
            <w:r>
              <w:rPr>
                <w:rFonts w:ascii="宋体" w:hAnsi="宋体" w:cs="宋体" w:eastAsia="宋体"/>
                <w:b w:val="false"/>
              </w:rPr>
              <w:t>2.02%</w:t>
            </w:r>
          </w:p>
        </w:tc>
        <w:tc>
          <w:tcPr>
            <w:tcW/>
            <w:vAlign w:val="center"/>
          </w:tcPr>
          <w:p>
            <w:pPr>
              <w:spacing w:line="240" w:lineRule="auto"/>
              <w:jc w:val="right"/>
            </w:pPr>
            <w:r>
              <w:rPr>
                <w:rFonts w:ascii="宋体" w:hAnsi="宋体" w:cs="宋体" w:eastAsia="宋体"/>
                <w:b w:val="false"/>
              </w:rPr>
              <w:t>19.17%</w:t>
            </w:r>
          </w:p>
        </w:tc>
        <w:tc>
          <w:tcPr>
            <w:tcW/>
            <w:vAlign w:val="center"/>
          </w:tcPr>
          <w:p>
            <w:pPr>
              <w:spacing w:line="240" w:lineRule="auto"/>
              <w:jc w:val="right"/>
            </w:pPr>
            <w:r>
              <w:rPr>
                <w:rFonts w:ascii="宋体" w:hAnsi="宋体" w:cs="宋体" w:eastAsia="宋体"/>
                <w:b w:val="false"/>
              </w:rPr>
              <w:t>1.03%</w:t>
            </w:r>
          </w:p>
        </w:tc>
        <w:tc>
          <w:tcPr>
            <w:tcW/>
            <w:vAlign w:val="center"/>
          </w:tcPr>
          <w:p>
            <w:pPr>
              <w:spacing w:line="240" w:lineRule="auto"/>
              <w:jc w:val="right"/>
            </w:pPr>
            <w:r>
              <w:rPr>
                <w:rFonts w:ascii="宋体" w:hAnsi="宋体" w:cs="宋体" w:eastAsia="宋体"/>
                <w:b w:val="false"/>
              </w:rPr>
              <w:t>-48.10%</w:t>
            </w:r>
          </w:p>
        </w:tc>
        <w:tc>
          <w:tcPr>
            <w:tcW/>
            <w:vAlign w:val="center"/>
          </w:tcPr>
          <w:p>
            <w:pPr>
              <w:spacing w:line="240" w:lineRule="auto"/>
              <w:jc w:val="right"/>
            </w:pPr>
            <w:r>
              <w:rPr>
                <w:rFonts w:ascii="宋体" w:hAnsi="宋体" w:cs="宋体" w:eastAsia="宋体"/>
                <w:b w:val="false"/>
              </w:rPr>
              <w:t>0.99%</w:t>
            </w:r>
          </w:p>
        </w:tc>
      </w:tr>
    </w:tbl>
    <w:p>
      <w:r>
        <w:rPr>
          <w:rFonts w:ascii="宋体" w:hAnsi="宋体" w:cs="宋体" w:eastAsia="宋体"/>
          <w:b w:val="false"/>
        </w:rPr>
        <w:t>注：1、本基金成立于2021年3月17日。自2023年5月10日起，本基金增设E类份额类别，份额首次确认日为2023年5月11日，增设当期的相关数据和指标按实际存续期计算。</w:t>
        <w:cr/>
      </w:r>
      <w:r>
        <w:rPr>
          <w:rFonts w:ascii="宋体" w:hAnsi="宋体" w:cs="宋体" w:eastAsia="宋体"/>
          <w:b w:val="false"/>
        </w:rPr>
        <w:t>2、本基金业绩比较基准为：中证800指数收益率×80%+中证综合债券指数收益率×10%+恒生指数收益率×10%</w:t>
      </w:r>
    </w:p>
    <w:p/>
    <w:p>
      <w:r>
        <w:rPr>
          <w:rStyle w:val="正文"/>
          <w:rFonts w:ascii="宋体" w:hAnsi="宋体" w:cs="宋体" w:eastAsia="宋体"/>
          <w:b w:val="true"/>
        </w:rPr>
        <w:t>3.2.2 自基金合同生效以来基金累计净值增长率变动及其与同期业绩比较基准收益率变动的比较</w:t>
      </w:r>
    </w:p>
    <w:p>
      <w:r>
        <w:drawing>
          <wp:inline distT="0" distR="0" distB="0" distL="0">
            <wp:extent cx="5715000" cy="3048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16"/>
                    <a:stretch>
                      <a:fillRect/>
                    </a:stretch>
                  </pic:blipFill>
                  <pic:spPr>
                    <a:xfrm>
                      <a:off x="0" y="0"/>
                      <a:ext cx="5715000" cy="3048000"/>
                    </a:xfrm>
                    <a:prstGeom prst="rect">
                      <a:avLst/>
                    </a:prstGeom>
                  </pic:spPr>
                </pic:pic>
              </a:graphicData>
            </a:graphic>
          </wp:inline>
        </w:drawing>
      </w:r>
    </w:p>
    <w:p>
      <w:r>
        <w:drawing>
          <wp:inline distT="0" distR="0" distB="0" distL="0">
            <wp:extent cx="5715000" cy="3048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17"/>
                    <a:stretch>
                      <a:fillRect/>
                    </a:stretch>
                  </pic:blipFill>
                  <pic:spPr>
                    <a:xfrm>
                      <a:off x="0" y="0"/>
                      <a:ext cx="5715000" cy="3048000"/>
                    </a:xfrm>
                    <a:prstGeom prst="rect">
                      <a:avLst/>
                    </a:prstGeom>
                  </pic:spPr>
                </pic:pic>
              </a:graphicData>
            </a:graphic>
          </wp:inline>
        </w:drawing>
      </w:r>
    </w:p>
    <w:p>
      <w:r>
        <w:drawing>
          <wp:inline distT="0" distR="0" distB="0" distL="0">
            <wp:extent cx="5715000" cy="3048000"/>
            <wp:docPr id="3" name="Drawing 3" descr="Generated"/>
            <a:graphic xmlns:a="http://schemas.openxmlformats.org/drawingml/2006/main">
              <a:graphicData uri="http://schemas.openxmlformats.org/drawingml/2006/picture">
                <pic:pic xmlns:pic="http://schemas.openxmlformats.org/drawingml/2006/picture">
                  <pic:nvPicPr>
                    <pic:cNvPr id="0" name="Picture 3" descr="Generated"/>
                    <pic:cNvPicPr>
                      <a:picLocks noChangeAspect="true"/>
                    </pic:cNvPicPr>
                  </pic:nvPicPr>
                  <pic:blipFill>
                    <a:blip r:embed="rId18"/>
                    <a:stretch>
                      <a:fillRect/>
                    </a:stretch>
                  </pic:blipFill>
                  <pic:spPr>
                    <a:xfrm>
                      <a:off x="0" y="0"/>
                      <a:ext cx="5715000" cy="3048000"/>
                    </a:xfrm>
                    <a:prstGeom prst="rect">
                      <a:avLst/>
                    </a:prstGeom>
                  </pic:spPr>
                </pic:pic>
              </a:graphicData>
            </a:graphic>
          </wp:inline>
        </w:drawing>
      </w:r>
    </w:p>
    <w:p>
      <w:r>
        <w:rPr>
          <w:rFonts w:ascii="宋体" w:hAnsi="宋体" w:cs="宋体" w:eastAsia="宋体"/>
          <w:b w:val="false"/>
        </w:rPr>
        <w:t>注：自2023年5月10日起，本基金增设E类份额类别，份额首次确认日为2023年5月11日，增设当期的相关数据和指标按实际存续期计算。</w:t>
      </w:r>
    </w:p>
    <w:p>
      <w:pPr>
        <w:pStyle w:val="1"/>
        <w:jc w:val="center"/>
      </w:pPr>
      <w:r>
        <w:rPr>
          <w:rFonts w:ascii="宋体" w:hAnsi="宋体" w:cs="宋体" w:eastAsia="宋体"/>
        </w:rPr>
        <w:t>§4 管理人报告</w:t>
      </w:r>
    </w:p>
    <w:p>
      <w:pPr>
        <w:pStyle w:val="2"/>
        <w:jc w:val="left"/>
      </w:pPr>
      <w:r>
        <w:rPr>
          <w:rFonts w:ascii="宋体" w:hAnsi="宋体" w:cs="宋体" w:eastAsia="宋体"/>
        </w:rPr>
        <w:t>4.1 基金经理（或基金经理小组）简介</w:t>
      </w:r>
    </w:p>
    <w:tbl>
      <w:tblPr>
        <w:tblW w:w="5000" w:type="pct"/>
        <w:tblBorders>
          <w:top w:val="single" w:sz="4"/>
          <w:left w:val="single" w:sz="4"/>
          <w:bottom w:val="single" w:sz="4"/>
          <w:right w:val="single" w:sz="4"/>
          <w:insideH w:val="single" w:sz="4"/>
          <w:insideV w:val="single" w:sz="4"/>
        </w:tblBorders>
      </w:tblPr>
      <w:tblGrid>
        <w:gridCol w:w="1510"/>
        <w:gridCol w:w="1510"/>
        <w:gridCol w:w="1510"/>
        <w:gridCol w:w="1510"/>
        <w:gridCol w:w="1510"/>
        <w:gridCol w:w="1510"/>
      </w:tblGrid>
      <w:tr>
        <w:tc>
          <w:tcPr>
            <w:tcW w:type="pct" w:w="538"/>
            <w:vMerge w:val="restart"/>
            <w:vAlign w:val="center"/>
          </w:tcPr>
          <w:tcPr>
            <w:shd w:fill="d9d9d9"/>
          </w:tcPr>
          <w:p>
            <w:pPr>
              <w:spacing w:line="240" w:lineRule="auto"/>
              <w:jc w:val="center"/>
            </w:pPr>
            <w:r>
              <w:rPr>
                <w:rFonts w:ascii="宋体" w:hAnsi="宋体" w:cs="宋体" w:eastAsia="宋体"/>
                <w:b w:val="false"/>
              </w:rPr>
              <w:t>姓名</w:t>
            </w:r>
          </w:p>
        </w:tc>
        <w:tc>
          <w:tcPr>
            <w:tcW w:type="pct" w:w="1231"/>
            <w:vMerge w:val="restart"/>
            <w:vAlign w:val="center"/>
          </w:tcPr>
          <w:tcPr>
            <w:shd w:fill="d9d9d9"/>
          </w:tcPr>
          <w:p>
            <w:pPr>
              <w:spacing w:line="240" w:lineRule="auto"/>
              <w:jc w:val="center"/>
            </w:pPr>
            <w:r>
              <w:rPr>
                <w:rFonts w:ascii="宋体" w:hAnsi="宋体" w:cs="宋体" w:eastAsia="宋体"/>
                <w:b w:val="false"/>
              </w:rPr>
              <w:t>职务</w:t>
            </w:r>
          </w:p>
        </w:tc>
        <w:tc>
          <w:tcPr>
            <w:tcW w:type="pct" w:w="808"/>
            <w:hMerge w:val="restart"/>
            <w:vAlign w:val="center"/>
          </w:tcPr>
          <w:tcPr>
            <w:shd w:fill="d9d9d9"/>
          </w:tcPr>
          <w:p>
            <w:pPr>
              <w:spacing w:line="240" w:lineRule="auto"/>
              <w:jc w:val="center"/>
            </w:pPr>
            <w:r>
              <w:rPr>
                <w:rFonts w:ascii="宋体" w:hAnsi="宋体" w:cs="宋体" w:eastAsia="宋体"/>
                <w:b w:val="false"/>
              </w:rPr>
              <w:t>任本基金的基金经理期限</w:t>
            </w:r>
          </w:p>
        </w:tc>
        <w:tc>
          <w:tcPr>
            <w:hMerge w:val="continue"/>
          </w:tcPr>
          <w:p/>
        </w:tc>
        <w:tc>
          <w:tcPr>
            <w:tcW w:type="pct" w:w="308"/>
            <w:vMerge w:val="restart"/>
            <w:vAlign w:val="center"/>
          </w:tcPr>
          <w:tcPr>
            <w:shd w:fill="d9d9d9"/>
          </w:tcPr>
          <w:p>
            <w:pPr>
              <w:spacing w:line="240" w:lineRule="auto"/>
              <w:jc w:val="center"/>
            </w:pPr>
            <w:r>
              <w:rPr>
                <w:rFonts w:ascii="宋体" w:hAnsi="宋体" w:cs="宋体" w:eastAsia="宋体"/>
                <w:b w:val="false"/>
              </w:rPr>
              <w:t>证券从业年限</w:t>
            </w:r>
          </w:p>
        </w:tc>
        <w:tc>
          <w:tcPr>
            <w:tcW w:type="pct" w:w="1462"/>
            <w:vMerge w:val="restart"/>
            <w:vAlign w:val="center"/>
          </w:tcPr>
          <w:tcPr>
            <w:shd w:fill="d9d9d9"/>
          </w:tcPr>
          <w:p>
            <w:pPr>
              <w:spacing w:line="240" w:lineRule="auto"/>
              <w:jc w:val="center"/>
            </w:pPr>
            <w:r>
              <w:rPr>
                <w:rFonts w:ascii="宋体" w:hAnsi="宋体" w:cs="宋体" w:eastAsia="宋体"/>
                <w:b w:val="false"/>
              </w:rPr>
              <w:t>说明</w:t>
            </w:r>
          </w:p>
        </w:tc>
      </w:tr>
      <w:tr>
        <w:tc>
          <w:tcPr>
            <w:vMerge w:val="continue"/>
          </w:tcPr>
          <w:p/>
        </w:tc>
        <w:tc>
          <w:tcPr>
            <w:vMerge w:val="continue"/>
          </w:tcPr>
          <w:p/>
        </w:tc>
        <w:tc>
          <w:tcPr>
            <w:tcW w:type="pct" w:w="400"/>
            <w:vAlign w:val="center"/>
          </w:tcPr>
          <w:tcPr>
            <w:shd w:fill="d9d9d9"/>
          </w:tcPr>
          <w:p>
            <w:pPr>
              <w:spacing w:line="240" w:lineRule="auto"/>
              <w:jc w:val="center"/>
            </w:pPr>
            <w:r>
              <w:rPr>
                <w:rFonts w:ascii="宋体" w:hAnsi="宋体" w:cs="宋体" w:eastAsia="宋体"/>
                <w:b w:val="false"/>
              </w:rPr>
              <w:t>任职日期</w:t>
            </w:r>
          </w:p>
        </w:tc>
        <w:tc>
          <w:tcPr>
            <w:tcW w:type="pct" w:w="392"/>
            <w:vAlign w:val="center"/>
          </w:tcPr>
          <w:tcPr>
            <w:shd w:fill="d9d9d9"/>
          </w:tcPr>
          <w:p>
            <w:pPr>
              <w:spacing w:line="240" w:lineRule="auto"/>
              <w:jc w:val="center"/>
            </w:pPr>
            <w:r>
              <w:rPr>
                <w:rFonts w:ascii="宋体" w:hAnsi="宋体" w:cs="宋体" w:eastAsia="宋体"/>
                <w:b w:val="false"/>
              </w:rPr>
              <w:t>离任日期</w:t>
            </w:r>
          </w:p>
        </w:tc>
        <w:tc>
          <w:tcPr>
            <w:vMerge w:val="continue"/>
          </w:tcPr>
          <w:p/>
        </w:tc>
        <w:tc>
          <w:tcPr>
            <w:vMerge w:val="continue"/>
          </w:tcPr>
          <w:p/>
        </w:tc>
      </w:tr>
      <w:tr>
        <w:tc>
          <w:tcPr>
            <w:tcW/>
            <w:vAlign w:val="center"/>
          </w:tcPr>
          <w:p>
            <w:pPr>
              <w:spacing w:line="240" w:lineRule="auto"/>
              <w:jc w:val="left"/>
            </w:pPr>
            <w:r>
              <w:rPr>
                <w:rFonts w:ascii="宋体" w:hAnsi="宋体" w:cs="宋体" w:eastAsia="宋体"/>
                <w:b w:val="false"/>
              </w:rPr>
              <w:t>潘令梓</w:t>
            </w:r>
          </w:p>
        </w:tc>
        <w:tc>
          <w:tcPr>
            <w:tcW/>
            <w:vAlign w:val="center"/>
          </w:tcPr>
          <w:p>
            <w:pPr>
              <w:spacing w:line="240" w:lineRule="auto"/>
              <w:jc w:val="left"/>
            </w:pPr>
            <w:r>
              <w:rPr>
                <w:rFonts w:ascii="宋体" w:hAnsi="宋体" w:cs="宋体" w:eastAsia="宋体"/>
                <w:b w:val="false"/>
              </w:rPr>
              <w:t>基金经理</w:t>
            </w:r>
          </w:p>
        </w:tc>
        <w:tc>
          <w:tcPr>
            <w:tcW/>
            <w:vAlign w:val="center"/>
          </w:tcPr>
          <w:p>
            <w:pPr>
              <w:spacing w:line="240" w:lineRule="auto"/>
              <w:jc w:val="center"/>
            </w:pPr>
            <w:r>
              <w:rPr>
                <w:rFonts w:ascii="宋体" w:hAnsi="宋体" w:cs="宋体" w:eastAsia="宋体"/>
                <w:b w:val="false"/>
              </w:rPr>
              <w:t>2024-11-19</w:t>
            </w:r>
          </w:p>
        </w:tc>
        <w:tc>
          <w:tcPr>
            <w:tcW/>
            <w:vAlign w:val="center"/>
          </w:tcPr>
          <w:p>
            <w:pPr>
              <w:spacing w:line="240" w:lineRule="auto"/>
              <w:jc w:val="center"/>
            </w:pPr>
            <w:r>
              <w:rPr>
                <w:rFonts w:ascii="宋体" w:hAnsi="宋体" w:cs="宋体" w:eastAsia="宋体"/>
                <w:b w:val="false"/>
              </w:rPr>
              <w:t>-</w:t>
            </w:r>
          </w:p>
        </w:tc>
        <w:tc>
          <w:tcPr>
            <w:tcW/>
            <w:vAlign w:val="center"/>
          </w:tcPr>
          <w:p>
            <w:pPr>
              <w:spacing w:line="240" w:lineRule="auto"/>
              <w:jc w:val="center"/>
            </w:pPr>
            <w:r>
              <w:rPr>
                <w:rFonts w:ascii="宋体" w:hAnsi="宋体" w:cs="宋体" w:eastAsia="宋体"/>
                <w:b w:val="false"/>
              </w:rPr>
              <w:t>6年</w:t>
            </w:r>
          </w:p>
        </w:tc>
        <w:tc>
          <w:tcPr>
            <w:tcW/>
            <w:vAlign w:val="center"/>
          </w:tcPr>
          <w:p>
            <w:pPr>
              <w:spacing w:line="240" w:lineRule="auto"/>
              <w:jc w:val="left"/>
            </w:pPr>
            <w:r>
              <w:rPr>
                <w:rFonts w:ascii="宋体" w:hAnsi="宋体" w:cs="宋体" w:eastAsia="宋体"/>
                <w:b w:val="false"/>
              </w:rPr>
              <w:t>潘令梓先生，南开大学保险学学士，香港大学会计学硕士，于2019年11月入职东方阿尔法基金管理有限公司，历任研究部研究员、基金经理助理。现任东方阿尔法基金管理有限公司基金经理。</w:t>
            </w:r>
          </w:p>
        </w:tc>
      </w:tr>
    </w:tbl>
    <w:p>
      <w:r>
        <w:rPr>
          <w:rFonts w:ascii="宋体" w:hAnsi="宋体" w:cs="宋体" w:eastAsia="宋体"/>
          <w:b w:val="false"/>
        </w:rPr>
        <w:t>注：1.对基金的首任基金经理，其"任职日期"为基金合同生效日，"离任日期"为根据公告确定的解聘日期；对此后的非首任基金经理，"任职日期"和"离任日期"分别指公告确定的任职日期和离任日期。</w:t>
        <w:cr/>
      </w:r>
      <w:r>
        <w:rPr>
          <w:rFonts w:ascii="宋体" w:hAnsi="宋体" w:cs="宋体" w:eastAsia="宋体"/>
          <w:b w:val="false"/>
        </w:rPr>
        <w:t>2.证券从业的含义遵从《证券基金经营机构董事、监事、高级管理人员及从业人员监督管理办法》的相关规定。</w:t>
      </w:r>
    </w:p>
    <w:p/>
    <w:p>
      <w:r>
        <w:rPr>
          <w:rStyle w:val="正文"/>
          <w:rFonts w:ascii="宋体" w:hAnsi="宋体" w:cs="宋体" w:eastAsia="宋体"/>
          <w:b w:val="true"/>
        </w:rPr>
        <w:t>4.1.1 期末兼任私募资产管理计划投资经理的基金经理同时管理的产品情况</w:t>
      </w:r>
    </w:p>
    <w:p>
      <w:r>
        <w:rPr>
          <w:rFonts w:ascii="宋体" w:hAnsi="宋体" w:cs="宋体" w:eastAsia="宋体"/>
          <w:b w:val="false"/>
        </w:rPr>
        <w:t xml:space="preserve">    无。</w:t>
      </w:r>
    </w:p>
    <w:p/>
    <w:p>
      <w:pPr>
        <w:pStyle w:val="2"/>
        <w:jc w:val="left"/>
      </w:pPr>
      <w:r>
        <w:rPr>
          <w:rFonts w:ascii="宋体" w:hAnsi="宋体" w:cs="宋体" w:eastAsia="宋体"/>
        </w:rPr>
        <w:t>4.2 管理人对报告期内本基金运作遵规守信情况的说明</w:t>
      </w:r>
    </w:p>
    <w:p>
      <w:r>
        <w:rPr>
          <w:rFonts w:ascii="宋体" w:hAnsi="宋体" w:cs="宋体" w:eastAsia="宋体"/>
          <w:b w:val="false"/>
        </w:rPr>
        <w:t xml:space="preserve">    本报告期内，本基金管理人严格遵守《中华人民共和国证券投资基金法》及其各项实施细则等有关法律法规、本基金《基金合同》和其他有关法律法规的规定，本着诚实信用、勤勉尽责的原则管理和运用基金资产，在严格控制风险的基础上，为基金份额持有人谋求最大利益。本报告期内，基金运作整体合法合规，无损害基金份额持有人利益的行为。</w:t>
      </w:r>
    </w:p>
    <w:p/>
    <w:p>
      <w:pPr>
        <w:pStyle w:val="2"/>
        <w:jc w:val="left"/>
      </w:pPr>
      <w:r>
        <w:rPr>
          <w:rFonts w:ascii="宋体" w:hAnsi="宋体" w:cs="宋体" w:eastAsia="宋体"/>
        </w:rPr>
        <w:t>4.3 公平交易专项说明</w:t>
      </w:r>
    </w:p>
    <w:p>
      <w:r>
        <w:rPr>
          <w:rStyle w:val="正文"/>
          <w:rFonts w:ascii="宋体" w:hAnsi="宋体" w:cs="宋体" w:eastAsia="宋体"/>
          <w:b w:val="true"/>
        </w:rPr>
        <w:t>4.3.1 公平交易制度的执行情况</w:t>
      </w:r>
    </w:p>
    <w:p>
      <w:r>
        <w:rPr>
          <w:rFonts w:ascii="宋体" w:hAnsi="宋体" w:cs="宋体" w:eastAsia="宋体"/>
          <w:b w:val="false"/>
        </w:rPr>
        <w:t xml:space="preserve">    本报告期内，本基金管理人严格执行《证券投资基金管理公司公平交易制度指导意见》，完善相应制度及流程，通过系统和人工等各种方式在各业务环节严格控制交易公平执行，公平对待旗下管理的所有基金和投资组合。</w:t>
        <w:cr/>
      </w:r>
      <w:r>
        <w:rPr>
          <w:rFonts w:ascii="宋体" w:hAnsi="宋体" w:cs="宋体" w:eastAsia="宋体"/>
          <w:b w:val="false"/>
        </w:rPr>
        <w:t xml:space="preserve">    本报告期内，本基金管理人利用统计分析的方法和工具，按照不同的时间窗（包括当日内、3日内、5日内）对基金管理人管理的不同投资组合反向交易和同向交易的交易价差监控进行分析，未发现违反公平交易制度的异常行为。</w:t>
      </w:r>
    </w:p>
    <w:p/>
    <w:p>
      <w:r>
        <w:rPr>
          <w:rStyle w:val="正文"/>
          <w:rFonts w:ascii="宋体" w:hAnsi="宋体" w:cs="宋体" w:eastAsia="宋体"/>
          <w:b w:val="true"/>
        </w:rPr>
        <w:t>4.3.2 异常交易行为的专项说明</w:t>
      </w:r>
    </w:p>
    <w:p>
      <w:r>
        <w:rPr>
          <w:rFonts w:ascii="宋体" w:hAnsi="宋体" w:cs="宋体" w:eastAsia="宋体"/>
          <w:b w:val="false"/>
        </w:rPr>
        <w:t xml:space="preserve">    报告期内，本基金不存在参与交易所公开竞价同日反向交易成交较少的单边交易量超过该证券当日成交量的5%的情况，且不存在其他可能导致非公平交易和利益输送的异常交易行为。</w:t>
      </w:r>
    </w:p>
    <w:p/>
    <w:p>
      <w:pPr>
        <w:pStyle w:val="2"/>
        <w:jc w:val="left"/>
      </w:pPr>
      <w:r>
        <w:rPr>
          <w:rFonts w:ascii="宋体" w:hAnsi="宋体" w:cs="宋体" w:eastAsia="宋体"/>
        </w:rPr>
        <w:t>4.4 报告期内基金的投资策略和运作分析</w:t>
      </w:r>
    </w:p>
    <w:p>
      <w:r>
        <w:rPr>
          <w:rFonts w:ascii="宋体" w:hAnsi="宋体" w:cs="宋体" w:eastAsia="宋体"/>
          <w:b w:val="false"/>
        </w:rPr>
        <w:t xml:space="preserve">    2025年三季度，国内宏观经济运行整体保持平稳态势。受“两新”政策红利逐步退坡的影响，社会消费品零售总额（社零）增速有所放缓；工业增加值内部结构呈现分化特征，不同行业表现存在差异；固定资产投资领域中，房地产、基础设施建设及制造业三大板块的表现均有待进一步提升。</w:t>
        <w:cr/>
      </w:r>
      <w:r>
        <w:rPr>
          <w:rFonts w:ascii="宋体" w:hAnsi="宋体" w:cs="宋体" w:eastAsia="宋体"/>
          <w:b w:val="false"/>
        </w:rPr>
        <w:t xml:space="preserve">    从外部贸易来看，9月出口数据表现超出市场预期，且略优于季节性水平。尽管前期“抢出口”效应已有所消退，但出口数据依然展现出较强的韧性，这一态势为我国在当前贸易摩擦中增添了更多底气。进入10月，特朗普方面再次释放对华加征关税的威胁信号，不过与今年4月相比，我国此次已做好充分准备，应对措施更为完善，因此市场对于贸易摩擦的担忧情绪显著减弱。</w:t>
        <w:cr/>
      </w:r>
      <w:r>
        <w:rPr>
          <w:rFonts w:ascii="宋体" w:hAnsi="宋体" w:cs="宋体" w:eastAsia="宋体"/>
          <w:b w:val="false"/>
        </w:rPr>
        <w:t xml:space="preserve">    海外流动性环境方面，美联储在9月宣布降息25个基点（BP），正式开启本轮降息周期。这一举措推动全球宏观流动性环境趋于宽松，为全球权益类资产的估值修复与提升提供了支撑。</w:t>
        <w:cr/>
      </w:r>
      <w:r>
        <w:rPr>
          <w:rFonts w:ascii="宋体" w:hAnsi="宋体" w:cs="宋体" w:eastAsia="宋体"/>
          <w:b w:val="false"/>
        </w:rPr>
        <w:t xml:space="preserve">    在A股市场层面，三季度整体呈现上扬走势。值得关注的是，军工板块在9月3日阅兵前后出现了较为明显的兑现式抛压，但从长期来看，国防军工现代化的产业发展趋势以及板块自身的投资逻辑并未发生改变，依然清晰明确。具体而言，借助9月3日盛大阅兵这一重要契机，我国体系化的高端国防装备在全球视野下实现大规模展示与亮相。在此之前，军工领域的市场空间测算多以美国相关建制为对标基准，而当前我国国防装备已逐步从“追赶”阶段迈向“超越”阶段，这一转变不仅意味着尖端装备未来的市场空间将进一步打开，更将为军贸高端化出海开辟长期增长空间，而这正是军贸细分板块后续实现估值重塑的核心基础。</w:t>
        <w:cr/>
      </w:r>
      <w:r>
        <w:rPr>
          <w:rFonts w:ascii="宋体" w:hAnsi="宋体" w:cs="宋体" w:eastAsia="宋体"/>
          <w:b w:val="false"/>
        </w:rPr>
        <w:t xml:space="preserve">    展望2025年四季度，重要的政策节点值得关注——四中全会即将召开，与此同时，“十五五”规划也将正式为未来五年我国经济政策的发展方向与核心重点定下总基调，成为具有高屋建瓴指导意义的政策风向标。</w:t>
        <w:cr/>
      </w:r>
      <w:r>
        <w:rPr>
          <w:rFonts w:ascii="宋体" w:hAnsi="宋体" w:cs="宋体" w:eastAsia="宋体"/>
          <w:b w:val="false"/>
        </w:rPr>
        <w:t xml:space="preserve">    从国际环境来看，当前地缘政治关系的紧张局势仍在持续，且有进一步加剧的趋势，保障我国战略安全的现实需求愈发迫切。在大国博弈不断深化的时代背景下，以军工行业为代表的高端制造领域，依然是维护国家战略安全、推动产业升级的核心抓手。</w:t>
        <w:cr/>
      </w:r>
      <w:r>
        <w:rPr>
          <w:rFonts w:ascii="宋体" w:hAnsi="宋体" w:cs="宋体" w:eastAsia="宋体"/>
          <w:b w:val="false"/>
        </w:rPr>
        <w:t xml:space="preserve">    近期国际安全事件亦对军贸市场产生重要影响：9 月以色列对卡塔尔首都多哈发动突袭，然而卡塔尔所装备的大量美式装备在此次事件中未能作出有效反应。这一情况为海湾国家敲响了警钟，以沙特阿拉伯为代表的中东国家开始重新审视自身国防装备体系的可靠性与适配性。此后，沙特与巴基斯坦正式签署共同防御协议，协议明确规定，任何针对其中一方的攻击将被视为对双方的共同攻击。沙巴共同防御协议的签署，不仅意味着我国军贸市场的潜在空间将进一步扩容，更有效打消了市场此前对于军贸目标国家支付能力、以及相关军贸上市公司盈利空间的担忧。此外，近期中国-沙特军事合作委员会第六次会议在北京顺利举行，双方出席嘉宾均为空军领域代表，这一会议安排进一步强化了市场对于我国先进战机出口的军贸预期。综合来看，国防军工板块后续有望进入密集的催化窗口期，具体包括军贸事件催化、订单落地催化以及业绩释放催化。在此背景下，我国核心国防装备的出口有望实现重大突破，“十五五”期间的装备订单也将陆续下达，部分军工企业的业绩有望迎来拐点，整个军工行业正逐步开启 “困境反转” 的发展新阶段。</w:t>
        <w:cr/>
      </w:r>
      <w:r>
        <w:rPr>
          <w:rFonts w:ascii="宋体" w:hAnsi="宋体" w:cs="宋体" w:eastAsia="宋体"/>
          <w:b w:val="false"/>
        </w:rPr>
        <w:t xml:space="preserve">    基于上述分析，本基金的投资操作持续看好以军工为代表的中国高端制造业的崛起前景，其中重点关注并看好军贸细分方向的投资机会，且已在相关股票品种上进行重仓配置。期望在后续市场运行中，基金净值能够实现有效修复，为广大基金持有人创造较好的投资回报。</w:t>
      </w:r>
    </w:p>
    <w:p/>
    <w:p>
      <w:pPr>
        <w:pStyle w:val="2"/>
        <w:jc w:val="left"/>
      </w:pPr>
      <w:r>
        <w:rPr>
          <w:rFonts w:ascii="宋体" w:hAnsi="宋体" w:cs="宋体" w:eastAsia="宋体"/>
        </w:rPr>
        <w:t>4.5 报告期内基金的业绩表现</w:t>
      </w:r>
    </w:p>
    <w:p>
      <w:r>
        <w:rPr>
          <w:rFonts w:ascii="宋体" w:hAnsi="宋体" w:cs="宋体" w:eastAsia="宋体"/>
          <w:b w:val="false"/>
        </w:rPr>
        <w:t xml:space="preserve">    截至报告期末东方阿尔法招阳混合A基金份额净值为0.4755元，本报告期内，该类基金份额净值增长率为-4.42%，同期业绩比较基准收益率为16.79%；截至报告期末东方阿尔法招阳混合C基金份额净值为0.4515元，本报告期内，该类基金份额净值增长率为-4.61%，同期业绩比较基准收益率为16.79%；截至报告期末东方阿尔法招阳混合E基金份额净值为0.4698元，本报告期内，该类基金份额净值增长率为-4.55%，同期业绩比较基准收益率为16.79%。</w:t>
      </w:r>
    </w:p>
    <w:p/>
    <w:p>
      <w:pPr>
        <w:pStyle w:val="2"/>
        <w:jc w:val="left"/>
      </w:pPr>
      <w:r>
        <w:rPr>
          <w:rFonts w:ascii="宋体" w:hAnsi="宋体" w:cs="宋体" w:eastAsia="宋体"/>
        </w:rPr>
        <w:t>4.6 报告期内基金持有人数或基金资产净值预警说明</w:t>
      </w:r>
    </w:p>
    <w:p>
      <w:r>
        <w:rPr>
          <w:rFonts w:ascii="宋体" w:hAnsi="宋体" w:cs="宋体" w:eastAsia="宋体"/>
          <w:b w:val="false"/>
        </w:rPr>
        <w:t xml:space="preserve">    本报告期内，本基金未出现连续20个工作日基金份额持有人数量不满200人或者基金资产净值低于5000万的情形。</w:t>
      </w:r>
    </w:p>
    <w:p>
      <w:pPr>
        <w:pStyle w:val="1"/>
        <w:jc w:val="center"/>
      </w:pPr>
      <w:r>
        <w:rPr>
          <w:rFonts w:ascii="宋体" w:hAnsi="宋体" w:cs="宋体" w:eastAsia="宋体"/>
        </w:rPr>
        <w:t>§5 投资组合报告</w:t>
      </w:r>
    </w:p>
    <w:p>
      <w:pPr>
        <w:pStyle w:val="2"/>
        <w:jc w:val="left"/>
      </w:pPr>
      <w:r>
        <w:rPr>
          <w:rFonts w:ascii="宋体" w:hAnsi="宋体" w:cs="宋体" w:eastAsia="宋体"/>
        </w:rPr>
        <w:t>5.1 报告期末基金资产组合情况</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462"/>
            <w:vAlign w:val="center"/>
          </w:tcPr>
          <w:tcPr>
            <w:shd w:fill="d9d9d9"/>
          </w:tcPr>
          <w:p>
            <w:pPr>
              <w:spacing w:line="240" w:lineRule="auto"/>
              <w:jc w:val="center"/>
            </w:pPr>
            <w:r>
              <w:rPr>
                <w:rFonts w:ascii="宋体" w:hAnsi="宋体" w:cs="宋体" w:eastAsia="宋体"/>
                <w:b w:val="false"/>
              </w:rPr>
              <w:t>序号</w:t>
            </w:r>
          </w:p>
        </w:tc>
        <w:tc>
          <w:tcPr>
            <w:tcW w:type="pct" w:w="1538"/>
            <w:vAlign w:val="center"/>
          </w:tcPr>
          <w:tcPr>
            <w:shd w:fill="d9d9d9"/>
          </w:tcPr>
          <w:p>
            <w:pPr>
              <w:spacing w:line="240" w:lineRule="auto"/>
              <w:jc w:val="center"/>
            </w:pPr>
            <w:r>
              <w:rPr>
                <w:rFonts w:ascii="宋体" w:hAnsi="宋体" w:cs="宋体" w:eastAsia="宋体"/>
                <w:b w:val="false"/>
              </w:rPr>
              <w:t>项目</w:t>
            </w:r>
          </w:p>
        </w:tc>
        <w:tc>
          <w:tcPr>
            <w:tcW w:type="pct" w:w="1538"/>
            <w:vAlign w:val="center"/>
          </w:tcPr>
          <w:tcPr>
            <w:shd w:fill="d9d9d9"/>
          </w:tcPr>
          <w:p>
            <w:pPr>
              <w:spacing w:line="240" w:lineRule="auto"/>
              <w:jc w:val="center"/>
            </w:pPr>
            <w:r>
              <w:rPr>
                <w:rFonts w:ascii="宋体" w:hAnsi="宋体" w:cs="宋体" w:eastAsia="宋体"/>
                <w:b w:val="false"/>
              </w:rPr>
              <w:t>金额(元)</w:t>
            </w:r>
          </w:p>
        </w:tc>
        <w:tc>
          <w:tcPr>
            <w:tcW w:type="pct" w:w="1538"/>
            <w:vAlign w:val="center"/>
          </w:tcPr>
          <w:tcPr>
            <w:shd w:fill="d9d9d9"/>
          </w:tcPr>
          <w:p>
            <w:pPr>
              <w:spacing w:line="240" w:lineRule="auto"/>
              <w:jc w:val="center"/>
            </w:pPr>
            <w:r>
              <w:rPr>
                <w:rFonts w:ascii="宋体" w:hAnsi="宋体" w:cs="宋体" w:eastAsia="宋体"/>
                <w:b w:val="false"/>
              </w:rPr>
              <w:t>占基金总资产的比例（%）</w:t>
            </w:r>
          </w:p>
        </w:tc>
      </w:tr>
      <w:tr>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left"/>
            </w:pPr>
            <w:r>
              <w:rPr>
                <w:rFonts w:ascii="宋体" w:hAnsi="宋体" w:cs="宋体" w:eastAsia="宋体"/>
                <w:b w:val="false"/>
              </w:rPr>
              <w:t>权益投资</w:t>
            </w:r>
          </w:p>
        </w:tc>
        <w:tc>
          <w:tcPr>
            <w:tcW/>
            <w:vAlign w:val="center"/>
          </w:tcPr>
          <w:p>
            <w:pPr>
              <w:spacing w:line="240" w:lineRule="auto"/>
              <w:jc w:val="right"/>
            </w:pPr>
            <w:r>
              <w:rPr>
                <w:rFonts w:ascii="宋体" w:hAnsi="宋体" w:cs="宋体" w:eastAsia="宋体"/>
                <w:b w:val="false"/>
              </w:rPr>
              <w:t>336,680,370.93</w:t>
            </w:r>
          </w:p>
        </w:tc>
        <w:tc>
          <w:tcPr>
            <w:tcW/>
            <w:vAlign w:val="center"/>
          </w:tcPr>
          <w:p>
            <w:pPr>
              <w:spacing w:line="240" w:lineRule="auto"/>
              <w:jc w:val="right"/>
            </w:pPr>
            <w:r>
              <w:rPr>
                <w:rFonts w:ascii="宋体" w:hAnsi="宋体" w:cs="宋体" w:eastAsia="宋体"/>
                <w:b w:val="false"/>
              </w:rPr>
              <w:t>91.66</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其中：股票</w:t>
            </w:r>
          </w:p>
        </w:tc>
        <w:tc>
          <w:tcPr>
            <w:tcW/>
            <w:vAlign w:val="center"/>
          </w:tcPr>
          <w:p>
            <w:pPr>
              <w:spacing w:line="240" w:lineRule="auto"/>
              <w:jc w:val="right"/>
            </w:pPr>
            <w:r>
              <w:rPr>
                <w:rFonts w:ascii="宋体" w:hAnsi="宋体" w:cs="宋体" w:eastAsia="宋体"/>
                <w:b w:val="false"/>
              </w:rPr>
              <w:t>336,680,370.93</w:t>
            </w:r>
          </w:p>
        </w:tc>
        <w:tc>
          <w:tcPr>
            <w:tcW/>
            <w:vAlign w:val="center"/>
          </w:tcPr>
          <w:p>
            <w:pPr>
              <w:spacing w:line="240" w:lineRule="auto"/>
              <w:jc w:val="right"/>
            </w:pPr>
            <w:r>
              <w:rPr>
                <w:rFonts w:ascii="宋体" w:hAnsi="宋体" w:cs="宋体" w:eastAsia="宋体"/>
                <w:b w:val="false"/>
              </w:rPr>
              <w:t>91.66</w:t>
            </w:r>
          </w:p>
        </w:tc>
      </w:tr>
      <w:tr>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left"/>
            </w:pPr>
            <w:r>
              <w:rPr>
                <w:rFonts w:ascii="宋体" w:hAnsi="宋体" w:cs="宋体" w:eastAsia="宋体"/>
                <w:b w:val="false"/>
              </w:rPr>
              <w:t>基金投资</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3</w:t>
            </w:r>
          </w:p>
        </w:tc>
        <w:tc>
          <w:tcPr>
            <w:tcW/>
            <w:vAlign w:val="center"/>
          </w:tcPr>
          <w:p>
            <w:pPr>
              <w:spacing w:line="240" w:lineRule="auto"/>
              <w:jc w:val="left"/>
            </w:pPr>
            <w:r>
              <w:rPr>
                <w:rFonts w:ascii="宋体" w:hAnsi="宋体" w:cs="宋体" w:eastAsia="宋体"/>
                <w:b w:val="false"/>
              </w:rPr>
              <w:t>固定收益投资</w:t>
            </w:r>
          </w:p>
        </w:tc>
        <w:tc>
          <w:tcPr>
            <w:tcW/>
            <w:vAlign w:val="center"/>
          </w:tcPr>
          <w:p>
            <w:pPr>
              <w:spacing w:line="240" w:lineRule="auto"/>
              <w:jc w:val="right"/>
            </w:pPr>
            <w:r>
              <w:rPr>
                <w:rFonts w:ascii="宋体" w:hAnsi="宋体" w:cs="宋体" w:eastAsia="宋体"/>
                <w:b w:val="false"/>
              </w:rPr>
              <w:t>18,292,633.73</w:t>
            </w:r>
          </w:p>
        </w:tc>
        <w:tc>
          <w:tcPr>
            <w:tcW/>
            <w:vAlign w:val="center"/>
          </w:tcPr>
          <w:p>
            <w:pPr>
              <w:spacing w:line="240" w:lineRule="auto"/>
              <w:jc w:val="right"/>
            </w:pPr>
            <w:r>
              <w:rPr>
                <w:rFonts w:ascii="宋体" w:hAnsi="宋体" w:cs="宋体" w:eastAsia="宋体"/>
                <w:b w:val="false"/>
              </w:rPr>
              <w:t>4.98</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其中：债券</w:t>
            </w:r>
          </w:p>
        </w:tc>
        <w:tc>
          <w:tcPr>
            <w:tcW/>
            <w:vAlign w:val="center"/>
          </w:tcPr>
          <w:p>
            <w:pPr>
              <w:spacing w:line="240" w:lineRule="auto"/>
              <w:jc w:val="right"/>
            </w:pPr>
            <w:r>
              <w:rPr>
                <w:rFonts w:ascii="宋体" w:hAnsi="宋体" w:cs="宋体" w:eastAsia="宋体"/>
                <w:b w:val="false"/>
              </w:rPr>
              <w:t>18,292,633.73</w:t>
            </w:r>
          </w:p>
        </w:tc>
        <w:tc>
          <w:tcPr>
            <w:tcW/>
            <w:vAlign w:val="center"/>
          </w:tcPr>
          <w:p>
            <w:pPr>
              <w:spacing w:line="240" w:lineRule="auto"/>
              <w:jc w:val="right"/>
            </w:pPr>
            <w:r>
              <w:rPr>
                <w:rFonts w:ascii="宋体" w:hAnsi="宋体" w:cs="宋体" w:eastAsia="宋体"/>
                <w:b w:val="false"/>
              </w:rPr>
              <w:t>4.98</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 xml:space="preserve">      资产支持证券</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4</w:t>
            </w:r>
          </w:p>
        </w:tc>
        <w:tc>
          <w:tcPr>
            <w:tcW/>
            <w:vAlign w:val="center"/>
          </w:tcPr>
          <w:p>
            <w:pPr>
              <w:spacing w:line="240" w:lineRule="auto"/>
            </w:pPr>
            <w:r>
              <w:rPr>
                <w:rFonts w:ascii="宋体" w:hAnsi="宋体" w:cs="宋体" w:eastAsia="宋体"/>
                <w:b w:val="false"/>
              </w:rPr>
              <w:t>贵金属投资</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5</w:t>
            </w:r>
          </w:p>
        </w:tc>
        <w:tc>
          <w:tcPr>
            <w:tcW/>
            <w:vAlign w:val="center"/>
          </w:tcPr>
          <w:p>
            <w:pPr>
              <w:spacing w:line="240" w:lineRule="auto"/>
              <w:jc w:val="left"/>
            </w:pPr>
            <w:r>
              <w:rPr>
                <w:rFonts w:ascii="宋体" w:hAnsi="宋体" w:cs="宋体" w:eastAsia="宋体"/>
                <w:b w:val="false"/>
              </w:rPr>
              <w:t>金融衍生品投资</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6</w:t>
            </w:r>
          </w:p>
        </w:tc>
        <w:tc>
          <w:tcPr>
            <w:tcW/>
            <w:vAlign w:val="center"/>
          </w:tcPr>
          <w:p>
            <w:pPr>
              <w:spacing w:line="240" w:lineRule="auto"/>
              <w:jc w:val="left"/>
            </w:pPr>
            <w:r>
              <w:rPr>
                <w:rFonts w:ascii="宋体" w:hAnsi="宋体" w:cs="宋体" w:eastAsia="宋体"/>
                <w:b w:val="false"/>
              </w:rPr>
              <w:t>买入返售金融资产</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其中：买断式回购的买入返售金融资产</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7</w:t>
            </w:r>
          </w:p>
        </w:tc>
        <w:tc>
          <w:tcPr>
            <w:tcW/>
            <w:vAlign w:val="center"/>
          </w:tcPr>
          <w:p>
            <w:pPr>
              <w:spacing w:line="240" w:lineRule="auto"/>
              <w:jc w:val="left"/>
            </w:pPr>
            <w:r>
              <w:rPr>
                <w:rFonts w:ascii="宋体" w:hAnsi="宋体" w:cs="宋体" w:eastAsia="宋体"/>
                <w:b w:val="false"/>
              </w:rPr>
              <w:t>银行存款和结算备付金合计</w:t>
            </w:r>
          </w:p>
        </w:tc>
        <w:tc>
          <w:tcPr>
            <w:tcW/>
            <w:vAlign w:val="center"/>
          </w:tcPr>
          <w:p>
            <w:pPr>
              <w:spacing w:line="240" w:lineRule="auto"/>
              <w:jc w:val="right"/>
            </w:pPr>
            <w:r>
              <w:rPr>
                <w:rFonts w:ascii="宋体" w:hAnsi="宋体" w:cs="宋体" w:eastAsia="宋体"/>
                <w:b w:val="false"/>
              </w:rPr>
              <w:t>1,102,059.94</w:t>
            </w:r>
          </w:p>
        </w:tc>
        <w:tc>
          <w:tcPr>
            <w:tcW/>
            <w:vAlign w:val="center"/>
          </w:tcPr>
          <w:p>
            <w:pPr>
              <w:spacing w:line="240" w:lineRule="auto"/>
              <w:jc w:val="right"/>
            </w:pPr>
            <w:r>
              <w:rPr>
                <w:rFonts w:ascii="宋体" w:hAnsi="宋体" w:cs="宋体" w:eastAsia="宋体"/>
                <w:b w:val="false"/>
              </w:rPr>
              <w:t>0.30</w:t>
            </w:r>
          </w:p>
        </w:tc>
      </w:tr>
      <w:tr>
        <w:tc>
          <w:tcPr>
            <w:tcW/>
            <w:vAlign w:val="center"/>
          </w:tcPr>
          <w:p>
            <w:pPr>
              <w:spacing w:line="240" w:lineRule="auto"/>
              <w:jc w:val="center"/>
            </w:pPr>
            <w:r>
              <w:rPr>
                <w:rFonts w:ascii="宋体" w:hAnsi="宋体" w:cs="宋体" w:eastAsia="宋体"/>
                <w:b w:val="false"/>
              </w:rPr>
              <w:t>8</w:t>
            </w:r>
          </w:p>
        </w:tc>
        <w:tc>
          <w:tcPr>
            <w:tcW/>
            <w:vAlign w:val="center"/>
          </w:tcPr>
          <w:p>
            <w:pPr>
              <w:spacing w:line="240" w:lineRule="auto"/>
              <w:jc w:val="left"/>
            </w:pPr>
            <w:r>
              <w:rPr>
                <w:rFonts w:ascii="宋体" w:hAnsi="宋体" w:cs="宋体" w:eastAsia="宋体"/>
                <w:b w:val="false"/>
              </w:rPr>
              <w:t>其他资产</w:t>
            </w:r>
          </w:p>
        </w:tc>
        <w:tc>
          <w:tcPr>
            <w:tcW/>
            <w:vAlign w:val="center"/>
          </w:tcPr>
          <w:p>
            <w:pPr>
              <w:spacing w:line="240" w:lineRule="auto"/>
              <w:jc w:val="right"/>
            </w:pPr>
            <w:r>
              <w:rPr>
                <w:rFonts w:ascii="宋体" w:hAnsi="宋体" w:cs="宋体" w:eastAsia="宋体"/>
                <w:b w:val="false"/>
              </w:rPr>
              <w:t>11,252,473.61</w:t>
            </w:r>
          </w:p>
        </w:tc>
        <w:tc>
          <w:tcPr>
            <w:tcW/>
            <w:vAlign w:val="center"/>
          </w:tcPr>
          <w:p>
            <w:pPr>
              <w:spacing w:line="240" w:lineRule="auto"/>
              <w:jc w:val="right"/>
            </w:pPr>
            <w:r>
              <w:rPr>
                <w:rFonts w:ascii="宋体" w:hAnsi="宋体" w:cs="宋体" w:eastAsia="宋体"/>
                <w:b w:val="false"/>
              </w:rPr>
              <w:t>3.06</w:t>
            </w:r>
          </w:p>
        </w:tc>
      </w:tr>
      <w:tr>
        <w:tc>
          <w:tcPr>
            <w:tcW/>
            <w:vAlign w:val="center"/>
          </w:tcPr>
          <w:p>
            <w:pPr>
              <w:spacing w:line="240" w:lineRule="auto"/>
              <w:jc w:val="center"/>
            </w:pPr>
            <w:r>
              <w:rPr>
                <w:rFonts w:ascii="宋体" w:hAnsi="宋体" w:cs="宋体" w:eastAsia="宋体"/>
                <w:b w:val="false"/>
              </w:rPr>
              <w:t>9</w:t>
            </w:r>
          </w:p>
        </w:tc>
        <w:tc>
          <w:tcPr>
            <w:tcW/>
            <w:vAlign w:val="center"/>
          </w:tcPr>
          <w:p>
            <w:pPr>
              <w:spacing w:line="240" w:lineRule="auto"/>
              <w:jc w:val="left"/>
            </w:pPr>
            <w:r>
              <w:rPr>
                <w:rFonts w:ascii="宋体" w:hAnsi="宋体" w:cs="宋体" w:eastAsia="宋体"/>
                <w:b w:val="false"/>
              </w:rPr>
              <w:t>合计</w:t>
            </w:r>
          </w:p>
        </w:tc>
        <w:tc>
          <w:tcPr>
            <w:tcW/>
            <w:vAlign w:val="center"/>
          </w:tcPr>
          <w:p>
            <w:pPr>
              <w:spacing w:line="240" w:lineRule="auto"/>
              <w:jc w:val="right"/>
            </w:pPr>
            <w:r>
              <w:rPr>
                <w:rFonts w:ascii="宋体" w:hAnsi="宋体" w:cs="宋体" w:eastAsia="宋体"/>
                <w:b w:val="false"/>
              </w:rPr>
              <w:t>367,327,538.21</w:t>
            </w:r>
          </w:p>
        </w:tc>
        <w:tc>
          <w:tcPr>
            <w:tcW/>
            <w:vAlign w:val="center"/>
          </w:tcPr>
          <w:p>
            <w:pPr>
              <w:spacing w:line="240" w:lineRule="auto"/>
              <w:jc w:val="right"/>
            </w:pPr>
            <w:r>
              <w:rPr>
                <w:rFonts w:ascii="宋体" w:hAnsi="宋体" w:cs="宋体" w:eastAsia="宋体"/>
                <w:b w:val="false"/>
              </w:rPr>
              <w:t>100.00</w:t>
            </w:r>
          </w:p>
        </w:tc>
      </w:tr>
    </w:tbl>
    <w:p/>
    <w:p>
      <w:pPr>
        <w:pStyle w:val="2"/>
        <w:jc w:val="left"/>
      </w:pPr>
      <w:r>
        <w:rPr>
          <w:rFonts w:ascii="宋体" w:hAnsi="宋体" w:cs="宋体" w:eastAsia="宋体"/>
        </w:rPr>
        <w:t>5.2 报告期末按行业分类的股票投资组合</w:t>
      </w:r>
    </w:p>
    <w:p>
      <w:r>
        <w:rPr>
          <w:rStyle w:val="正文"/>
          <w:rFonts w:ascii="宋体" w:hAnsi="宋体" w:cs="宋体" w:eastAsia="宋体"/>
          <w:b w:val="true"/>
        </w:rPr>
        <w:t>5.2.1 报告期末按行业分类的境内股票投资组合</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615"/>
            <w:vAlign w:val="center"/>
          </w:tcPr>
          <w:tcPr>
            <w:shd w:fill="d9d9d9"/>
          </w:tcPr>
          <w:p>
            <w:pPr>
              <w:spacing w:line="240" w:lineRule="auto"/>
              <w:jc w:val="center"/>
            </w:pPr>
            <w:r>
              <w:rPr>
                <w:rFonts w:ascii="宋体" w:hAnsi="宋体" w:cs="宋体" w:eastAsia="宋体"/>
                <w:b w:val="false"/>
              </w:rPr>
              <w:t>代码</w:t>
            </w:r>
          </w:p>
        </w:tc>
        <w:tc>
          <w:tcPr>
            <w:tcW w:type="pct" w:w="1538"/>
            <w:vAlign w:val="center"/>
          </w:tcPr>
          <w:tcPr>
            <w:shd w:fill="d9d9d9"/>
          </w:tcPr>
          <w:p>
            <w:pPr>
              <w:spacing w:line="240" w:lineRule="auto"/>
              <w:jc w:val="center"/>
            </w:pPr>
            <w:r>
              <w:rPr>
                <w:rFonts w:ascii="宋体" w:hAnsi="宋体" w:cs="宋体" w:eastAsia="宋体"/>
                <w:b w:val="false"/>
              </w:rPr>
              <w:t>行业类别</w:t>
            </w:r>
          </w:p>
        </w:tc>
        <w:tc>
          <w:tcPr>
            <w:tcW w:type="pct" w:w="923"/>
            <w:vAlign w:val="center"/>
          </w:tcPr>
          <w:tcPr>
            <w:shd w:fill="d9d9d9"/>
          </w:tcPr>
          <w:p>
            <w:pPr>
              <w:spacing w:line="240" w:lineRule="auto"/>
              <w:jc w:val="center"/>
            </w:pPr>
            <w:r>
              <w:rPr>
                <w:rFonts w:ascii="宋体" w:hAnsi="宋体" w:cs="宋体" w:eastAsia="宋体"/>
                <w:b w:val="false"/>
              </w:rPr>
              <w:t>公允价值(元)</w:t>
            </w:r>
          </w:p>
        </w:tc>
        <w:tc>
          <w:tcPr>
            <w:tcW w:type="pct" w:w="1538"/>
            <w:vAlign w:val="center"/>
          </w:tcPr>
          <w:tcPr>
            <w:shd w:fill="d9d9d9"/>
          </w:tcPr>
          <w:p>
            <w:pPr>
              <w:spacing w:line="240" w:lineRule="auto"/>
              <w:jc w:val="center"/>
            </w:pPr>
            <w:r>
              <w:rPr>
                <w:rFonts w:ascii="宋体" w:hAnsi="宋体" w:cs="宋体" w:eastAsia="宋体"/>
                <w:b w:val="false"/>
              </w:rPr>
              <w:t>占基金资产净值比例（%）</w:t>
            </w:r>
          </w:p>
        </w:tc>
      </w:tr>
      <w:tr>
        <w:tc>
          <w:tcPr>
            <w:tcW/>
            <w:vAlign w:val="center"/>
          </w:tcPr>
          <w:p>
            <w:pPr>
              <w:spacing w:line="240" w:lineRule="auto"/>
              <w:jc w:val="center"/>
            </w:pPr>
            <w:r>
              <w:rPr>
                <w:rFonts w:ascii="宋体" w:hAnsi="宋体" w:cs="宋体" w:eastAsia="宋体"/>
                <w:b w:val="false"/>
              </w:rPr>
              <w:t>A</w:t>
            </w:r>
          </w:p>
        </w:tc>
        <w:tc>
          <w:tcPr>
            <w:tcW/>
            <w:vAlign w:val="center"/>
          </w:tcPr>
          <w:p>
            <w:pPr>
              <w:spacing w:line="240" w:lineRule="auto"/>
              <w:jc w:val="left"/>
            </w:pPr>
            <w:r>
              <w:rPr>
                <w:rFonts w:ascii="宋体" w:hAnsi="宋体" w:cs="宋体" w:eastAsia="宋体"/>
                <w:b w:val="false"/>
              </w:rPr>
              <w:t>农、林、牧、渔业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B</w:t>
            </w:r>
          </w:p>
        </w:tc>
        <w:tc>
          <w:tcPr>
            <w:tcW/>
            <w:vAlign w:val="center"/>
          </w:tcPr>
          <w:p>
            <w:pPr>
              <w:spacing w:line="240" w:lineRule="auto"/>
              <w:jc w:val="left"/>
            </w:pPr>
            <w:r>
              <w:rPr>
                <w:rFonts w:ascii="宋体" w:hAnsi="宋体" w:cs="宋体" w:eastAsia="宋体"/>
                <w:b w:val="false"/>
              </w:rPr>
              <w:t>采矿业</w:t>
            </w:r>
          </w:p>
        </w:tc>
        <w:tc>
          <w:tcPr>
            <w:tcW/>
            <w:vAlign w:val="center"/>
          </w:tcPr>
          <w:p>
            <w:pPr>
              <w:spacing w:line="240" w:lineRule="auto"/>
              <w:jc w:val="right"/>
            </w:pPr>
            <w:r>
              <w:rPr>
                <w:rFonts w:ascii="宋体" w:hAnsi="宋体" w:cs="宋体" w:eastAsia="宋体"/>
                <w:b w:val="false"/>
              </w:rPr>
              <w:t>30,411,360.00</w:t>
            </w:r>
          </w:p>
        </w:tc>
        <w:tc>
          <w:tcPr>
            <w:tcW/>
            <w:vAlign w:val="center"/>
          </w:tcPr>
          <w:p>
            <w:pPr>
              <w:spacing w:line="240" w:lineRule="auto"/>
              <w:jc w:val="right"/>
            </w:pPr>
            <w:r>
              <w:rPr>
                <w:rFonts w:ascii="宋体" w:hAnsi="宋体" w:cs="宋体" w:eastAsia="宋体"/>
                <w:b w:val="false"/>
              </w:rPr>
              <w:t>8.32</w:t>
            </w:r>
          </w:p>
        </w:tc>
      </w:tr>
      <w:tr>
        <w:tc>
          <w:tcPr>
            <w:tcW/>
            <w:vAlign w:val="center"/>
          </w:tcPr>
          <w:p>
            <w:pPr>
              <w:spacing w:line="240" w:lineRule="auto"/>
              <w:jc w:val="center"/>
            </w:pPr>
            <w:r>
              <w:rPr>
                <w:rFonts w:ascii="宋体" w:hAnsi="宋体" w:cs="宋体" w:eastAsia="宋体"/>
                <w:b w:val="false"/>
              </w:rPr>
              <w:t>C</w:t>
            </w:r>
          </w:p>
        </w:tc>
        <w:tc>
          <w:tcPr>
            <w:tcW/>
            <w:vAlign w:val="center"/>
          </w:tcPr>
          <w:p>
            <w:pPr>
              <w:spacing w:line="240" w:lineRule="auto"/>
              <w:jc w:val="left"/>
            </w:pPr>
            <w:r>
              <w:rPr>
                <w:rFonts w:ascii="宋体" w:hAnsi="宋体" w:cs="宋体" w:eastAsia="宋体"/>
                <w:b w:val="false"/>
              </w:rPr>
              <w:t>制造业</w:t>
            </w:r>
          </w:p>
        </w:tc>
        <w:tc>
          <w:tcPr>
            <w:tcW/>
            <w:vAlign w:val="center"/>
          </w:tcPr>
          <w:p>
            <w:pPr>
              <w:spacing w:line="240" w:lineRule="auto"/>
              <w:jc w:val="right"/>
            </w:pPr>
            <w:r>
              <w:rPr>
                <w:rFonts w:ascii="宋体" w:hAnsi="宋体" w:cs="宋体" w:eastAsia="宋体"/>
                <w:b w:val="false"/>
              </w:rPr>
              <w:t>305,906,522.28</w:t>
            </w:r>
          </w:p>
        </w:tc>
        <w:tc>
          <w:tcPr>
            <w:tcW/>
            <w:vAlign w:val="center"/>
          </w:tcPr>
          <w:p>
            <w:pPr>
              <w:spacing w:line="240" w:lineRule="auto"/>
              <w:jc w:val="right"/>
            </w:pPr>
            <w:r>
              <w:rPr>
                <w:rFonts w:ascii="宋体" w:hAnsi="宋体" w:cs="宋体" w:eastAsia="宋体"/>
                <w:b w:val="false"/>
              </w:rPr>
              <w:t>83.70</w:t>
            </w:r>
          </w:p>
        </w:tc>
      </w:tr>
      <w:tr>
        <w:tc>
          <w:tcPr>
            <w:tcW/>
            <w:vAlign w:val="center"/>
          </w:tcPr>
          <w:p>
            <w:pPr>
              <w:spacing w:line="240" w:lineRule="auto"/>
              <w:jc w:val="center"/>
            </w:pPr>
            <w:r>
              <w:rPr>
                <w:rFonts w:ascii="宋体" w:hAnsi="宋体" w:cs="宋体" w:eastAsia="宋体"/>
                <w:b w:val="false"/>
              </w:rPr>
              <w:t>D</w:t>
            </w:r>
          </w:p>
        </w:tc>
        <w:tc>
          <w:tcPr>
            <w:tcW/>
            <w:vAlign w:val="center"/>
          </w:tcPr>
          <w:p>
            <w:pPr>
              <w:spacing w:line="240" w:lineRule="auto"/>
              <w:jc w:val="left"/>
            </w:pPr>
            <w:r>
              <w:rPr>
                <w:rFonts w:ascii="宋体" w:hAnsi="宋体" w:cs="宋体" w:eastAsia="宋体"/>
                <w:b w:val="false"/>
              </w:rPr>
              <w:t>电力、热力、燃气及水生产和供应业</w:t>
            </w:r>
          </w:p>
        </w:tc>
        <w:tc>
          <w:tcPr>
            <w:tcW/>
            <w:vAlign w:val="center"/>
          </w:tcPr>
          <w:p>
            <w:pPr>
              <w:spacing w:line="240" w:lineRule="auto"/>
              <w:jc w:val="right"/>
            </w:pPr>
            <w:r>
              <w:rPr>
                <w:rFonts w:ascii="宋体" w:hAnsi="宋体" w:cs="宋体" w:eastAsia="宋体"/>
                <w:b w:val="false"/>
              </w:rPr>
              <w:t>334,992.82</w:t>
            </w:r>
          </w:p>
        </w:tc>
        <w:tc>
          <w:tcPr>
            <w:tcW/>
            <w:vAlign w:val="center"/>
          </w:tcPr>
          <w:p>
            <w:pPr>
              <w:spacing w:line="240" w:lineRule="auto"/>
              <w:jc w:val="right"/>
            </w:pPr>
            <w:r>
              <w:rPr>
                <w:rFonts w:ascii="宋体" w:hAnsi="宋体" w:cs="宋体" w:eastAsia="宋体"/>
                <w:b w:val="false"/>
              </w:rPr>
              <w:t>0.09</w:t>
            </w:r>
          </w:p>
        </w:tc>
      </w:tr>
      <w:tr>
        <w:tc>
          <w:tcPr>
            <w:tcW/>
            <w:vAlign w:val="center"/>
          </w:tcPr>
          <w:p>
            <w:pPr>
              <w:spacing w:line="240" w:lineRule="auto"/>
              <w:jc w:val="center"/>
            </w:pPr>
            <w:r>
              <w:rPr>
                <w:rFonts w:ascii="宋体" w:hAnsi="宋体" w:cs="宋体" w:eastAsia="宋体"/>
                <w:b w:val="false"/>
              </w:rPr>
              <w:t>E</w:t>
            </w:r>
          </w:p>
        </w:tc>
        <w:tc>
          <w:tcPr>
            <w:tcW/>
            <w:vAlign w:val="center"/>
          </w:tcPr>
          <w:p>
            <w:pPr>
              <w:spacing w:line="240" w:lineRule="auto"/>
              <w:jc w:val="left"/>
            </w:pPr>
            <w:r>
              <w:rPr>
                <w:rFonts w:ascii="宋体" w:hAnsi="宋体" w:cs="宋体" w:eastAsia="宋体"/>
                <w:b w:val="false"/>
              </w:rPr>
              <w:t>建筑业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F</w:t>
            </w:r>
          </w:p>
        </w:tc>
        <w:tc>
          <w:tcPr>
            <w:tcW/>
            <w:vAlign w:val="center"/>
          </w:tcPr>
          <w:p>
            <w:pPr>
              <w:spacing w:line="240" w:lineRule="auto"/>
              <w:jc w:val="left"/>
            </w:pPr>
            <w:r>
              <w:rPr>
                <w:rFonts w:ascii="宋体" w:hAnsi="宋体" w:cs="宋体" w:eastAsia="宋体"/>
                <w:b w:val="false"/>
              </w:rPr>
              <w:t>批发和零售业</w:t>
            </w:r>
          </w:p>
        </w:tc>
        <w:tc>
          <w:tcPr>
            <w:tcW/>
            <w:vAlign w:val="center"/>
          </w:tcPr>
          <w:p>
            <w:pPr>
              <w:spacing w:line="240" w:lineRule="auto"/>
              <w:jc w:val="right"/>
            </w:pPr>
            <w:r>
              <w:rPr>
                <w:rFonts w:ascii="宋体" w:hAnsi="宋体" w:cs="宋体" w:eastAsia="宋体"/>
                <w:b w:val="false"/>
              </w:rPr>
              <w:t>9,239.49</w:t>
            </w:r>
          </w:p>
        </w:tc>
        <w:tc>
          <w:tcPr>
            <w:tcW/>
            <w:vAlign w:val="center"/>
          </w:tcPr>
          <w:p>
            <w:pPr>
              <w:spacing w:line="240" w:lineRule="auto"/>
              <w:jc w:val="right"/>
            </w:pPr>
            <w:r>
              <w:rPr>
                <w:rFonts w:ascii="宋体" w:hAnsi="宋体" w:cs="宋体" w:eastAsia="宋体"/>
                <w:b w:val="false"/>
              </w:rPr>
              <w:t>0.00</w:t>
            </w:r>
          </w:p>
        </w:tc>
      </w:tr>
      <w:tr>
        <w:tc>
          <w:tcPr>
            <w:tcW/>
            <w:vAlign w:val="center"/>
          </w:tcPr>
          <w:p>
            <w:pPr>
              <w:spacing w:line="240" w:lineRule="auto"/>
              <w:jc w:val="center"/>
            </w:pPr>
            <w:r>
              <w:rPr>
                <w:rFonts w:ascii="宋体" w:hAnsi="宋体" w:cs="宋体" w:eastAsia="宋体"/>
                <w:b w:val="false"/>
              </w:rPr>
              <w:t>G</w:t>
            </w:r>
          </w:p>
        </w:tc>
        <w:tc>
          <w:tcPr>
            <w:tcW/>
            <w:vAlign w:val="center"/>
          </w:tcPr>
          <w:p>
            <w:pPr>
              <w:spacing w:line="240" w:lineRule="auto"/>
              <w:jc w:val="left"/>
            </w:pPr>
            <w:r>
              <w:rPr>
                <w:rFonts w:ascii="宋体" w:hAnsi="宋体" w:cs="宋体" w:eastAsia="宋体"/>
                <w:b w:val="false"/>
              </w:rPr>
              <w:t>交通运输、仓储和邮政业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H</w:t>
            </w:r>
          </w:p>
        </w:tc>
        <w:tc>
          <w:tcPr>
            <w:tcW/>
            <w:vAlign w:val="center"/>
          </w:tcPr>
          <w:p>
            <w:pPr>
              <w:spacing w:line="240" w:lineRule="auto"/>
              <w:jc w:val="left"/>
            </w:pPr>
            <w:r>
              <w:rPr>
                <w:rFonts w:ascii="宋体" w:hAnsi="宋体" w:cs="宋体" w:eastAsia="宋体"/>
                <w:b w:val="false"/>
              </w:rPr>
              <w:t>住宿和餐饮业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I</w:t>
            </w:r>
          </w:p>
        </w:tc>
        <w:tc>
          <w:tcPr>
            <w:tcW/>
            <w:vAlign w:val="center"/>
          </w:tcPr>
          <w:p>
            <w:pPr>
              <w:spacing w:line="240" w:lineRule="auto"/>
              <w:jc w:val="left"/>
            </w:pPr>
            <w:r>
              <w:rPr>
                <w:rFonts w:ascii="宋体" w:hAnsi="宋体" w:cs="宋体" w:eastAsia="宋体"/>
                <w:b w:val="false"/>
              </w:rPr>
              <w:t>信息传输、软件和信息技术服务业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J</w:t>
            </w:r>
          </w:p>
        </w:tc>
        <w:tc>
          <w:tcPr>
            <w:tcW/>
            <w:vAlign w:val="center"/>
          </w:tcPr>
          <w:p>
            <w:pPr>
              <w:spacing w:line="240" w:lineRule="auto"/>
              <w:jc w:val="left"/>
            </w:pPr>
            <w:r>
              <w:rPr>
                <w:rFonts w:ascii="宋体" w:hAnsi="宋体" w:cs="宋体" w:eastAsia="宋体"/>
                <w:b w:val="false"/>
              </w:rPr>
              <w:t>金融业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K</w:t>
            </w:r>
          </w:p>
        </w:tc>
        <w:tc>
          <w:tcPr>
            <w:tcW/>
            <w:vAlign w:val="center"/>
          </w:tcPr>
          <w:p>
            <w:pPr>
              <w:spacing w:line="240" w:lineRule="auto"/>
              <w:jc w:val="left"/>
            </w:pPr>
            <w:r>
              <w:rPr>
                <w:rFonts w:ascii="宋体" w:hAnsi="宋体" w:cs="宋体" w:eastAsia="宋体"/>
                <w:b w:val="false"/>
              </w:rPr>
              <w:t>房地产业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L</w:t>
            </w:r>
          </w:p>
        </w:tc>
        <w:tc>
          <w:tcPr>
            <w:tcW/>
            <w:vAlign w:val="center"/>
          </w:tcPr>
          <w:p>
            <w:pPr>
              <w:spacing w:line="240" w:lineRule="auto"/>
              <w:jc w:val="left"/>
            </w:pPr>
            <w:r>
              <w:rPr>
                <w:rFonts w:ascii="宋体" w:hAnsi="宋体" w:cs="宋体" w:eastAsia="宋体"/>
                <w:b w:val="false"/>
              </w:rPr>
              <w:t>租赁和商务服务业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M</w:t>
            </w:r>
          </w:p>
        </w:tc>
        <w:tc>
          <w:tcPr>
            <w:tcW/>
            <w:vAlign w:val="center"/>
          </w:tcPr>
          <w:p>
            <w:pPr>
              <w:spacing w:line="240" w:lineRule="auto"/>
              <w:jc w:val="left"/>
            </w:pPr>
            <w:r>
              <w:rPr>
                <w:rFonts w:ascii="宋体" w:hAnsi="宋体" w:cs="宋体" w:eastAsia="宋体"/>
                <w:b w:val="false"/>
              </w:rPr>
              <w:t>科学研究和技术服务业</w:t>
            </w:r>
          </w:p>
        </w:tc>
        <w:tc>
          <w:tcPr>
            <w:tcW/>
            <w:vAlign w:val="center"/>
          </w:tcPr>
          <w:p>
            <w:pPr>
              <w:spacing w:line="240" w:lineRule="auto"/>
              <w:jc w:val="right"/>
            </w:pPr>
            <w:r>
              <w:rPr>
                <w:rFonts w:ascii="宋体" w:hAnsi="宋体" w:cs="宋体" w:eastAsia="宋体"/>
                <w:b w:val="false"/>
              </w:rPr>
              <w:t>18,256.34</w:t>
            </w:r>
          </w:p>
        </w:tc>
        <w:tc>
          <w:tcPr>
            <w:tcW/>
            <w:vAlign w:val="center"/>
          </w:tcPr>
          <w:p>
            <w:pPr>
              <w:spacing w:line="240" w:lineRule="auto"/>
              <w:jc w:val="right"/>
            </w:pPr>
            <w:r>
              <w:rPr>
                <w:rFonts w:ascii="宋体" w:hAnsi="宋体" w:cs="宋体" w:eastAsia="宋体"/>
                <w:b w:val="false"/>
              </w:rPr>
              <w:t>0.00</w:t>
            </w:r>
          </w:p>
        </w:tc>
      </w:tr>
      <w:tr>
        <w:tc>
          <w:tcPr>
            <w:tcW/>
            <w:vAlign w:val="center"/>
          </w:tcPr>
          <w:p>
            <w:pPr>
              <w:spacing w:line="240" w:lineRule="auto"/>
              <w:jc w:val="center"/>
            </w:pPr>
            <w:r>
              <w:rPr>
                <w:rFonts w:ascii="宋体" w:hAnsi="宋体" w:cs="宋体" w:eastAsia="宋体"/>
                <w:b w:val="false"/>
              </w:rPr>
              <w:t>N</w:t>
            </w:r>
          </w:p>
        </w:tc>
        <w:tc>
          <w:tcPr>
            <w:tcW/>
            <w:vAlign w:val="center"/>
          </w:tcPr>
          <w:p>
            <w:pPr>
              <w:spacing w:line="240" w:lineRule="auto"/>
              <w:jc w:val="left"/>
            </w:pPr>
            <w:r>
              <w:rPr>
                <w:rFonts w:ascii="宋体" w:hAnsi="宋体" w:cs="宋体" w:eastAsia="宋体"/>
                <w:b w:val="false"/>
              </w:rPr>
              <w:t>水利、环境和公共设施管理业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O</w:t>
            </w:r>
          </w:p>
        </w:tc>
        <w:tc>
          <w:tcPr>
            <w:tcW/>
            <w:vAlign w:val="center"/>
          </w:tcPr>
          <w:p>
            <w:pPr>
              <w:spacing w:line="240" w:lineRule="auto"/>
              <w:jc w:val="left"/>
            </w:pPr>
            <w:r>
              <w:rPr>
                <w:rFonts w:ascii="宋体" w:hAnsi="宋体" w:cs="宋体" w:eastAsia="宋体"/>
                <w:b w:val="false"/>
              </w:rPr>
              <w:t>居民服务、修理和其他服务业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P</w:t>
            </w:r>
          </w:p>
        </w:tc>
        <w:tc>
          <w:tcPr>
            <w:tcW/>
            <w:vAlign w:val="center"/>
          </w:tcPr>
          <w:p>
            <w:pPr>
              <w:spacing w:line="240" w:lineRule="auto"/>
              <w:jc w:val="left"/>
            </w:pPr>
            <w:r>
              <w:rPr>
                <w:rFonts w:ascii="宋体" w:hAnsi="宋体" w:cs="宋体" w:eastAsia="宋体"/>
                <w:b w:val="false"/>
              </w:rPr>
              <w:t>教育</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Q</w:t>
            </w:r>
          </w:p>
        </w:tc>
        <w:tc>
          <w:tcPr>
            <w:tcW/>
            <w:vAlign w:val="center"/>
          </w:tcPr>
          <w:p>
            <w:pPr>
              <w:spacing w:line="240" w:lineRule="auto"/>
              <w:jc w:val="left"/>
            </w:pPr>
            <w:r>
              <w:rPr>
                <w:rFonts w:ascii="宋体" w:hAnsi="宋体" w:cs="宋体" w:eastAsia="宋体"/>
                <w:b w:val="false"/>
              </w:rPr>
              <w:t>卫生和社会工作</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R</w:t>
            </w:r>
          </w:p>
        </w:tc>
        <w:tc>
          <w:tcPr>
            <w:tcW/>
            <w:vAlign w:val="center"/>
          </w:tcPr>
          <w:p>
            <w:pPr>
              <w:spacing w:line="240" w:lineRule="auto"/>
              <w:jc w:val="left"/>
            </w:pPr>
            <w:r>
              <w:rPr>
                <w:rFonts w:ascii="宋体" w:hAnsi="宋体" w:cs="宋体" w:eastAsia="宋体"/>
                <w:b w:val="false"/>
              </w:rPr>
              <w:t>文化、体育和娱乐业</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S</w:t>
            </w:r>
          </w:p>
        </w:tc>
        <w:tc>
          <w:tcPr>
            <w:tcW/>
            <w:vAlign w:val="center"/>
          </w:tcPr>
          <w:p>
            <w:pPr>
              <w:spacing w:line="240" w:lineRule="auto"/>
              <w:jc w:val="left"/>
            </w:pPr>
            <w:r>
              <w:rPr>
                <w:rFonts w:ascii="宋体" w:hAnsi="宋体" w:cs="宋体" w:eastAsia="宋体"/>
                <w:b w:val="false"/>
              </w:rPr>
              <w:t>综合</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合计</w:t>
            </w:r>
          </w:p>
        </w:tc>
        <w:tc>
          <w:tcPr>
            <w:tcW/>
            <w:vAlign w:val="center"/>
          </w:tcPr>
          <w:p>
            <w:pPr>
              <w:spacing w:line="240" w:lineRule="auto"/>
              <w:jc w:val="right"/>
            </w:pPr>
            <w:r>
              <w:rPr>
                <w:rFonts w:ascii="宋体" w:hAnsi="宋体" w:cs="宋体" w:eastAsia="宋体"/>
                <w:b w:val="false"/>
              </w:rPr>
              <w:t>336,680,370.93</w:t>
            </w:r>
          </w:p>
        </w:tc>
        <w:tc>
          <w:tcPr>
            <w:tcW/>
            <w:vAlign w:val="center"/>
          </w:tcPr>
          <w:p>
            <w:pPr>
              <w:spacing w:line="240" w:lineRule="auto"/>
              <w:jc w:val="right"/>
            </w:pPr>
            <w:r>
              <w:rPr>
                <w:rFonts w:ascii="宋体" w:hAnsi="宋体" w:cs="宋体" w:eastAsia="宋体"/>
                <w:b w:val="false"/>
              </w:rPr>
              <w:t>92.12</w:t>
            </w:r>
          </w:p>
        </w:tc>
      </w:tr>
    </w:tbl>
    <w:p/>
    <w:p>
      <w:r>
        <w:rPr>
          <w:rStyle w:val="正文"/>
          <w:rFonts w:ascii="宋体" w:hAnsi="宋体" w:cs="宋体" w:eastAsia="宋体"/>
          <w:b w:val="true"/>
        </w:rPr>
        <w:t>5.2.2 报告期末按行业分类的港股通投资股票投资组合</w:t>
      </w:r>
    </w:p>
    <w:p>
      <w:r>
        <w:rPr>
          <w:rFonts w:ascii="宋体" w:hAnsi="宋体" w:cs="宋体" w:eastAsia="宋体"/>
          <w:b w:val="false"/>
        </w:rPr>
        <w:t xml:space="preserve">    本基金本报告期末未持有港股通投资股票投资组合。</w:t>
      </w:r>
    </w:p>
    <w:p/>
    <w:p>
      <w:pPr>
        <w:pStyle w:val="2"/>
        <w:jc w:val="left"/>
      </w:pPr>
      <w:r>
        <w:rPr>
          <w:rFonts w:ascii="宋体" w:hAnsi="宋体" w:cs="宋体" w:eastAsia="宋体"/>
        </w:rPr>
        <w:t>5.3 报告期末按公允价值占基金资产净值比例大小排序的前十名股票投资明细</w:t>
      </w:r>
    </w:p>
    <w:tbl>
      <w:tblPr>
        <w:tblW w:w="5000" w:type="pct"/>
        <w:tblBorders>
          <w:top w:val="single" w:sz="4"/>
          <w:left w:val="single" w:sz="4"/>
          <w:bottom w:val="single" w:sz="4"/>
          <w:right w:val="single" w:sz="4"/>
          <w:insideH w:val="single" w:sz="4"/>
          <w:insideV w:val="single" w:sz="4"/>
        </w:tblBorders>
      </w:tblPr>
      <w:tblGrid>
        <w:gridCol w:w="1510"/>
        <w:gridCol w:w="1510"/>
        <w:gridCol w:w="1510"/>
        <w:gridCol w:w="1510"/>
        <w:gridCol w:w="1510"/>
        <w:gridCol w:w="1510"/>
      </w:tblGrid>
      <w:tr>
        <w:tc>
          <w:tcPr>
            <w:tcW w:type="pct" w:w="615"/>
            <w:vAlign w:val="center"/>
          </w:tcPr>
          <w:tcPr>
            <w:shd w:fill="d9d9d9"/>
          </w:tcPr>
          <w:p>
            <w:pPr>
              <w:spacing w:line="240" w:lineRule="auto"/>
              <w:jc w:val="center"/>
            </w:pPr>
            <w:r>
              <w:rPr>
                <w:rFonts w:ascii="宋体" w:hAnsi="宋体" w:cs="宋体" w:eastAsia="宋体"/>
                <w:b w:val="false"/>
              </w:rPr>
              <w:t>序号</w:t>
            </w:r>
          </w:p>
        </w:tc>
        <w:tc>
          <w:tcPr>
            <w:tcW w:type="pct" w:w="769"/>
            <w:vAlign w:val="center"/>
          </w:tcPr>
          <w:tcPr>
            <w:shd w:fill="d9d9d9"/>
          </w:tcPr>
          <w:p>
            <w:pPr>
              <w:spacing w:line="240" w:lineRule="auto"/>
              <w:jc w:val="center"/>
            </w:pPr>
            <w:r>
              <w:rPr>
                <w:rFonts w:ascii="宋体" w:hAnsi="宋体" w:cs="宋体" w:eastAsia="宋体"/>
                <w:b w:val="false"/>
              </w:rPr>
              <w:t>股票代码</w:t>
            </w:r>
          </w:p>
        </w:tc>
        <w:tc>
          <w:tcPr>
            <w:tcW w:type="pct" w:w="769"/>
            <w:vAlign w:val="center"/>
          </w:tcPr>
          <w:tcPr>
            <w:shd w:fill="d9d9d9"/>
          </w:tcPr>
          <w:p>
            <w:pPr>
              <w:spacing w:line="240" w:lineRule="auto"/>
              <w:jc w:val="center"/>
            </w:pPr>
            <w:r>
              <w:rPr>
                <w:rFonts w:ascii="宋体" w:hAnsi="宋体" w:cs="宋体" w:eastAsia="宋体"/>
                <w:b w:val="false"/>
              </w:rPr>
              <w:t>股票名称</w:t>
            </w:r>
          </w:p>
        </w:tc>
        <w:tc>
          <w:tcPr>
            <w:tcW w:type="pct" w:w="615"/>
            <w:vAlign w:val="center"/>
          </w:tcPr>
          <w:tcPr>
            <w:shd w:fill="d9d9d9"/>
          </w:tcPr>
          <w:p>
            <w:pPr>
              <w:spacing w:line="240" w:lineRule="auto"/>
              <w:jc w:val="center"/>
            </w:pPr>
            <w:r>
              <w:rPr>
                <w:rFonts w:ascii="宋体" w:hAnsi="宋体" w:cs="宋体" w:eastAsia="宋体"/>
                <w:b w:val="false"/>
              </w:rPr>
              <w:t>数量(股)</w:t>
            </w:r>
          </w:p>
        </w:tc>
        <w:tc>
          <w:tcPr>
            <w:tcW w:type="pct" w:w="923"/>
            <w:vAlign w:val="center"/>
          </w:tcPr>
          <w:tcPr>
            <w:shd w:fill="d9d9d9"/>
          </w:tcPr>
          <w:p>
            <w:pPr>
              <w:spacing w:line="240" w:lineRule="auto"/>
              <w:jc w:val="center"/>
            </w:pPr>
            <w:r>
              <w:rPr>
                <w:rFonts w:ascii="宋体" w:hAnsi="宋体" w:cs="宋体" w:eastAsia="宋体"/>
                <w:b w:val="false"/>
              </w:rPr>
              <w:t>公允价值(元)</w:t>
            </w:r>
          </w:p>
        </w:tc>
        <w:tc>
          <w:tcPr>
            <w:tcW w:type="pct" w:w="923"/>
            <w:vAlign w:val="center"/>
          </w:tcPr>
          <w:tcPr>
            <w:shd w:fill="d9d9d9"/>
          </w:tcPr>
          <w:p>
            <w:pPr>
              <w:spacing w:line="240" w:lineRule="auto"/>
              <w:jc w:val="center"/>
            </w:pPr>
            <w:r>
              <w:rPr>
                <w:rFonts w:ascii="宋体" w:hAnsi="宋体" w:cs="宋体" w:eastAsia="宋体"/>
                <w:b w:val="false"/>
              </w:rPr>
              <w:t>占基金资产净值比例(%)</w:t>
            </w:r>
          </w:p>
        </w:tc>
      </w:tr>
      <w:tr>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left"/>
            </w:pPr>
            <w:r>
              <w:rPr>
                <w:rFonts w:ascii="宋体" w:hAnsi="宋体" w:cs="宋体" w:eastAsia="宋体"/>
                <w:b w:val="false"/>
              </w:rPr>
              <w:t>600562</w:t>
            </w:r>
          </w:p>
        </w:tc>
        <w:tc>
          <w:tcPr>
            <w:tcW/>
            <w:vAlign w:val="center"/>
          </w:tcPr>
          <w:p>
            <w:pPr>
              <w:spacing w:line="240" w:lineRule="auto"/>
              <w:jc w:val="left"/>
            </w:pPr>
            <w:r>
              <w:rPr>
                <w:rFonts w:ascii="宋体" w:hAnsi="宋体" w:cs="宋体" w:eastAsia="宋体"/>
                <w:b w:val="false"/>
              </w:rPr>
              <w:t>国睿科技</w:t>
            </w:r>
          </w:p>
        </w:tc>
        <w:tc>
          <w:tcPr>
            <w:tcW/>
            <w:vAlign w:val="center"/>
          </w:tcPr>
          <w:p>
            <w:pPr>
              <w:spacing w:line="240" w:lineRule="auto"/>
              <w:jc w:val="right"/>
            </w:pPr>
            <w:r>
              <w:rPr>
                <w:rFonts w:ascii="宋体" w:hAnsi="宋体" w:cs="宋体" w:eastAsia="宋体"/>
                <w:b w:val="false"/>
              </w:rPr>
              <w:t>1,049,300</w:t>
            </w:r>
          </w:p>
        </w:tc>
        <w:tc>
          <w:tcPr>
            <w:tcW/>
            <w:vAlign w:val="center"/>
          </w:tcPr>
          <w:p>
            <w:pPr>
              <w:spacing w:line="240" w:lineRule="auto"/>
              <w:jc w:val="right"/>
            </w:pPr>
            <w:r>
              <w:rPr>
                <w:rFonts w:ascii="宋体" w:hAnsi="宋体" w:cs="宋体" w:eastAsia="宋体"/>
                <w:b w:val="false"/>
              </w:rPr>
              <w:t>36,116,906.00</w:t>
            </w:r>
          </w:p>
        </w:tc>
        <w:tc>
          <w:tcPr>
            <w:tcW/>
            <w:vAlign w:val="center"/>
          </w:tcPr>
          <w:p>
            <w:pPr>
              <w:spacing w:line="240" w:lineRule="auto"/>
              <w:jc w:val="right"/>
            </w:pPr>
            <w:r>
              <w:rPr>
                <w:rFonts w:ascii="宋体" w:hAnsi="宋体" w:cs="宋体" w:eastAsia="宋体"/>
                <w:b w:val="false"/>
              </w:rPr>
              <w:t>9.88</w:t>
            </w:r>
          </w:p>
        </w:tc>
      </w:tr>
      <w:tr>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left"/>
            </w:pPr>
            <w:r>
              <w:rPr>
                <w:rFonts w:ascii="宋体" w:hAnsi="宋体" w:cs="宋体" w:eastAsia="宋体"/>
                <w:b w:val="false"/>
              </w:rPr>
              <w:t>600760</w:t>
            </w:r>
          </w:p>
        </w:tc>
        <w:tc>
          <w:tcPr>
            <w:tcW/>
            <w:vAlign w:val="center"/>
          </w:tcPr>
          <w:p>
            <w:pPr>
              <w:spacing w:line="240" w:lineRule="auto"/>
              <w:jc w:val="left"/>
            </w:pPr>
            <w:r>
              <w:rPr>
                <w:rFonts w:ascii="宋体" w:hAnsi="宋体" w:cs="宋体" w:eastAsia="宋体"/>
                <w:b w:val="false"/>
              </w:rPr>
              <w:t>中航沈飞</w:t>
            </w:r>
          </w:p>
        </w:tc>
        <w:tc>
          <w:tcPr>
            <w:tcW/>
            <w:vAlign w:val="center"/>
          </w:tcPr>
          <w:p>
            <w:pPr>
              <w:spacing w:line="240" w:lineRule="auto"/>
              <w:jc w:val="right"/>
            </w:pPr>
            <w:r>
              <w:rPr>
                <w:rFonts w:ascii="宋体" w:hAnsi="宋体" w:cs="宋体" w:eastAsia="宋体"/>
                <w:b w:val="false"/>
              </w:rPr>
              <w:t>492,164</w:t>
            </w:r>
          </w:p>
        </w:tc>
        <w:tc>
          <w:tcPr>
            <w:tcW/>
            <w:vAlign w:val="center"/>
          </w:tcPr>
          <w:p>
            <w:pPr>
              <w:spacing w:line="240" w:lineRule="auto"/>
              <w:jc w:val="right"/>
            </w:pPr>
            <w:r>
              <w:rPr>
                <w:rFonts w:ascii="宋体" w:hAnsi="宋体" w:cs="宋体" w:eastAsia="宋体"/>
                <w:b w:val="false"/>
              </w:rPr>
              <w:t>35,352,140.12</w:t>
            </w:r>
          </w:p>
        </w:tc>
        <w:tc>
          <w:tcPr>
            <w:tcW/>
            <w:vAlign w:val="center"/>
          </w:tcPr>
          <w:p>
            <w:pPr>
              <w:spacing w:line="240" w:lineRule="auto"/>
              <w:jc w:val="right"/>
            </w:pPr>
            <w:r>
              <w:rPr>
                <w:rFonts w:ascii="宋体" w:hAnsi="宋体" w:cs="宋体" w:eastAsia="宋体"/>
                <w:b w:val="false"/>
              </w:rPr>
              <w:t>9.67</w:t>
            </w:r>
          </w:p>
        </w:tc>
      </w:tr>
      <w:tr>
        <w:tc>
          <w:tcPr>
            <w:tcW/>
            <w:vAlign w:val="center"/>
          </w:tcPr>
          <w:p>
            <w:pPr>
              <w:spacing w:line="240" w:lineRule="auto"/>
              <w:jc w:val="center"/>
            </w:pPr>
            <w:r>
              <w:rPr>
                <w:rFonts w:ascii="宋体" w:hAnsi="宋体" w:cs="宋体" w:eastAsia="宋体"/>
                <w:b w:val="false"/>
              </w:rPr>
              <w:t>3</w:t>
            </w:r>
          </w:p>
        </w:tc>
        <w:tc>
          <w:tcPr>
            <w:tcW/>
            <w:vAlign w:val="center"/>
          </w:tcPr>
          <w:p>
            <w:pPr>
              <w:spacing w:line="240" w:lineRule="auto"/>
              <w:jc w:val="left"/>
            </w:pPr>
            <w:r>
              <w:rPr>
                <w:rFonts w:ascii="宋体" w:hAnsi="宋体" w:cs="宋体" w:eastAsia="宋体"/>
                <w:b w:val="false"/>
              </w:rPr>
              <w:t>688552</w:t>
            </w:r>
          </w:p>
        </w:tc>
        <w:tc>
          <w:tcPr>
            <w:tcW/>
            <w:vAlign w:val="center"/>
          </w:tcPr>
          <w:p>
            <w:pPr>
              <w:spacing w:line="240" w:lineRule="auto"/>
              <w:jc w:val="left"/>
            </w:pPr>
            <w:r>
              <w:rPr>
                <w:rFonts w:ascii="宋体" w:hAnsi="宋体" w:cs="宋体" w:eastAsia="宋体"/>
                <w:b w:val="false"/>
              </w:rPr>
              <w:t>航天南湖</w:t>
            </w:r>
          </w:p>
        </w:tc>
        <w:tc>
          <w:tcPr>
            <w:tcW/>
            <w:vAlign w:val="center"/>
          </w:tcPr>
          <w:p>
            <w:pPr>
              <w:spacing w:line="240" w:lineRule="auto"/>
              <w:jc w:val="right"/>
            </w:pPr>
            <w:r>
              <w:rPr>
                <w:rFonts w:ascii="宋体" w:hAnsi="宋体" w:cs="宋体" w:eastAsia="宋体"/>
                <w:b w:val="false"/>
              </w:rPr>
              <w:t>819,815</w:t>
            </w:r>
          </w:p>
        </w:tc>
        <w:tc>
          <w:tcPr>
            <w:tcW/>
            <w:vAlign w:val="center"/>
          </w:tcPr>
          <w:p>
            <w:pPr>
              <w:spacing w:line="240" w:lineRule="auto"/>
              <w:jc w:val="right"/>
            </w:pPr>
            <w:r>
              <w:rPr>
                <w:rFonts w:ascii="宋体" w:hAnsi="宋体" w:cs="宋体" w:eastAsia="宋体"/>
                <w:b w:val="false"/>
              </w:rPr>
              <w:t>35,334,026.50</w:t>
            </w:r>
          </w:p>
        </w:tc>
        <w:tc>
          <w:tcPr>
            <w:tcW/>
            <w:vAlign w:val="center"/>
          </w:tcPr>
          <w:p>
            <w:pPr>
              <w:spacing w:line="240" w:lineRule="auto"/>
              <w:jc w:val="right"/>
            </w:pPr>
            <w:r>
              <w:rPr>
                <w:rFonts w:ascii="宋体" w:hAnsi="宋体" w:cs="宋体" w:eastAsia="宋体"/>
                <w:b w:val="false"/>
              </w:rPr>
              <w:t>9.67</w:t>
            </w:r>
          </w:p>
        </w:tc>
      </w:tr>
      <w:tr>
        <w:tc>
          <w:tcPr>
            <w:tcW/>
            <w:vAlign w:val="center"/>
          </w:tcPr>
          <w:p>
            <w:pPr>
              <w:spacing w:line="240" w:lineRule="auto"/>
              <w:jc w:val="center"/>
            </w:pPr>
            <w:r>
              <w:rPr>
                <w:rFonts w:ascii="宋体" w:hAnsi="宋体" w:cs="宋体" w:eastAsia="宋体"/>
                <w:b w:val="false"/>
              </w:rPr>
              <w:t>4</w:t>
            </w:r>
          </w:p>
        </w:tc>
        <w:tc>
          <w:tcPr>
            <w:tcW/>
            <w:vAlign w:val="center"/>
          </w:tcPr>
          <w:p>
            <w:pPr>
              <w:spacing w:line="240" w:lineRule="auto"/>
              <w:jc w:val="left"/>
            </w:pPr>
            <w:r>
              <w:rPr>
                <w:rFonts w:ascii="宋体" w:hAnsi="宋体" w:cs="宋体" w:eastAsia="宋体"/>
                <w:b w:val="false"/>
              </w:rPr>
              <w:t>302132</w:t>
            </w:r>
          </w:p>
        </w:tc>
        <w:tc>
          <w:tcPr>
            <w:tcW/>
            <w:vAlign w:val="center"/>
          </w:tcPr>
          <w:p>
            <w:pPr>
              <w:spacing w:line="240" w:lineRule="auto"/>
              <w:jc w:val="left"/>
            </w:pPr>
            <w:r>
              <w:rPr>
                <w:rFonts w:ascii="宋体" w:hAnsi="宋体" w:cs="宋体" w:eastAsia="宋体"/>
                <w:b w:val="false"/>
              </w:rPr>
              <w:t>中航成飞</w:t>
            </w:r>
          </w:p>
        </w:tc>
        <w:tc>
          <w:tcPr>
            <w:tcW/>
            <w:vAlign w:val="center"/>
          </w:tcPr>
          <w:p>
            <w:pPr>
              <w:spacing w:line="240" w:lineRule="auto"/>
              <w:jc w:val="right"/>
            </w:pPr>
            <w:r>
              <w:rPr>
                <w:rFonts w:ascii="宋体" w:hAnsi="宋体" w:cs="宋体" w:eastAsia="宋体"/>
                <w:b w:val="false"/>
              </w:rPr>
              <w:t>382,000</w:t>
            </w:r>
          </w:p>
        </w:tc>
        <w:tc>
          <w:tcPr>
            <w:tcW/>
            <w:vAlign w:val="center"/>
          </w:tcPr>
          <w:p>
            <w:pPr>
              <w:spacing w:line="240" w:lineRule="auto"/>
              <w:jc w:val="right"/>
            </w:pPr>
            <w:r>
              <w:rPr>
                <w:rFonts w:ascii="宋体" w:hAnsi="宋体" w:cs="宋体" w:eastAsia="宋体"/>
                <w:b w:val="false"/>
              </w:rPr>
              <w:t>34,437,300.00</w:t>
            </w:r>
          </w:p>
        </w:tc>
        <w:tc>
          <w:tcPr>
            <w:tcW/>
            <w:vAlign w:val="center"/>
          </w:tcPr>
          <w:p>
            <w:pPr>
              <w:spacing w:line="240" w:lineRule="auto"/>
              <w:jc w:val="right"/>
            </w:pPr>
            <w:r>
              <w:rPr>
                <w:rFonts w:ascii="宋体" w:hAnsi="宋体" w:cs="宋体" w:eastAsia="宋体"/>
                <w:b w:val="false"/>
              </w:rPr>
              <w:t>9.42</w:t>
            </w:r>
          </w:p>
        </w:tc>
      </w:tr>
      <w:tr>
        <w:tc>
          <w:tcPr>
            <w:tcW/>
            <w:vAlign w:val="center"/>
          </w:tcPr>
          <w:p>
            <w:pPr>
              <w:spacing w:line="240" w:lineRule="auto"/>
              <w:jc w:val="center"/>
            </w:pPr>
            <w:r>
              <w:rPr>
                <w:rFonts w:ascii="宋体" w:hAnsi="宋体" w:cs="宋体" w:eastAsia="宋体"/>
                <w:b w:val="false"/>
              </w:rPr>
              <w:t>5</w:t>
            </w:r>
          </w:p>
        </w:tc>
        <w:tc>
          <w:tcPr>
            <w:tcW/>
            <w:vAlign w:val="center"/>
          </w:tcPr>
          <w:p>
            <w:pPr>
              <w:spacing w:line="240" w:lineRule="auto"/>
              <w:jc w:val="left"/>
            </w:pPr>
            <w:r>
              <w:rPr>
                <w:rFonts w:ascii="宋体" w:hAnsi="宋体" w:cs="宋体" w:eastAsia="宋体"/>
                <w:b w:val="false"/>
              </w:rPr>
              <w:t>600316</w:t>
            </w:r>
          </w:p>
        </w:tc>
        <w:tc>
          <w:tcPr>
            <w:tcW/>
            <w:vAlign w:val="center"/>
          </w:tcPr>
          <w:p>
            <w:pPr>
              <w:spacing w:line="240" w:lineRule="auto"/>
              <w:jc w:val="left"/>
            </w:pPr>
            <w:r>
              <w:rPr>
                <w:rFonts w:ascii="宋体" w:hAnsi="宋体" w:cs="宋体" w:eastAsia="宋体"/>
                <w:b w:val="false"/>
              </w:rPr>
              <w:t>洪都航空</w:t>
            </w:r>
          </w:p>
        </w:tc>
        <w:tc>
          <w:tcPr>
            <w:tcW/>
            <w:vAlign w:val="center"/>
          </w:tcPr>
          <w:p>
            <w:pPr>
              <w:spacing w:line="240" w:lineRule="auto"/>
              <w:jc w:val="right"/>
            </w:pPr>
            <w:r>
              <w:rPr>
                <w:rFonts w:ascii="宋体" w:hAnsi="宋体" w:cs="宋体" w:eastAsia="宋体"/>
                <w:b w:val="false"/>
              </w:rPr>
              <w:t>810,800</w:t>
            </w:r>
          </w:p>
        </w:tc>
        <w:tc>
          <w:tcPr>
            <w:tcW/>
            <w:vAlign w:val="center"/>
          </w:tcPr>
          <w:p>
            <w:pPr>
              <w:spacing w:line="240" w:lineRule="auto"/>
              <w:jc w:val="right"/>
            </w:pPr>
            <w:r>
              <w:rPr>
                <w:rFonts w:ascii="宋体" w:hAnsi="宋体" w:cs="宋体" w:eastAsia="宋体"/>
                <w:b w:val="false"/>
              </w:rPr>
              <w:t>30,729,320.00</w:t>
            </w:r>
          </w:p>
        </w:tc>
        <w:tc>
          <w:tcPr>
            <w:tcW/>
            <w:vAlign w:val="center"/>
          </w:tcPr>
          <w:p>
            <w:pPr>
              <w:spacing w:line="240" w:lineRule="auto"/>
              <w:jc w:val="right"/>
            </w:pPr>
            <w:r>
              <w:rPr>
                <w:rFonts w:ascii="宋体" w:hAnsi="宋体" w:cs="宋体" w:eastAsia="宋体"/>
                <w:b w:val="false"/>
              </w:rPr>
              <w:t>8.41</w:t>
            </w:r>
          </w:p>
        </w:tc>
      </w:tr>
      <w:tr>
        <w:tc>
          <w:tcPr>
            <w:tcW/>
            <w:vAlign w:val="center"/>
          </w:tcPr>
          <w:p>
            <w:pPr>
              <w:spacing w:line="240" w:lineRule="auto"/>
              <w:jc w:val="center"/>
            </w:pPr>
            <w:r>
              <w:rPr>
                <w:rFonts w:ascii="宋体" w:hAnsi="宋体" w:cs="宋体" w:eastAsia="宋体"/>
                <w:b w:val="false"/>
              </w:rPr>
              <w:t>6</w:t>
            </w:r>
          </w:p>
        </w:tc>
        <w:tc>
          <w:tcPr>
            <w:tcW/>
            <w:vAlign w:val="center"/>
          </w:tcPr>
          <w:p>
            <w:pPr>
              <w:spacing w:line="240" w:lineRule="auto"/>
              <w:jc w:val="left"/>
            </w:pPr>
            <w:r>
              <w:rPr>
                <w:rFonts w:ascii="宋体" w:hAnsi="宋体" w:cs="宋体" w:eastAsia="宋体"/>
                <w:b w:val="false"/>
              </w:rPr>
              <w:t>002683</w:t>
            </w:r>
          </w:p>
        </w:tc>
        <w:tc>
          <w:tcPr>
            <w:tcW/>
            <w:vAlign w:val="center"/>
          </w:tcPr>
          <w:p>
            <w:pPr>
              <w:spacing w:line="240" w:lineRule="auto"/>
              <w:jc w:val="left"/>
            </w:pPr>
            <w:r>
              <w:rPr>
                <w:rFonts w:ascii="宋体" w:hAnsi="宋体" w:cs="宋体" w:eastAsia="宋体"/>
                <w:b w:val="false"/>
              </w:rPr>
              <w:t>广东宏大</w:t>
            </w:r>
          </w:p>
        </w:tc>
        <w:tc>
          <w:tcPr>
            <w:tcW/>
            <w:vAlign w:val="center"/>
          </w:tcPr>
          <w:p>
            <w:pPr>
              <w:spacing w:line="240" w:lineRule="auto"/>
              <w:jc w:val="right"/>
            </w:pPr>
            <w:r>
              <w:rPr>
                <w:rFonts w:ascii="宋体" w:hAnsi="宋体" w:cs="宋体" w:eastAsia="宋体"/>
                <w:b w:val="false"/>
              </w:rPr>
              <w:t>689,600</w:t>
            </w:r>
          </w:p>
        </w:tc>
        <w:tc>
          <w:tcPr>
            <w:tcW/>
            <w:vAlign w:val="center"/>
          </w:tcPr>
          <w:p>
            <w:pPr>
              <w:spacing w:line="240" w:lineRule="auto"/>
              <w:jc w:val="right"/>
            </w:pPr>
            <w:r>
              <w:rPr>
                <w:rFonts w:ascii="宋体" w:hAnsi="宋体" w:cs="宋体" w:eastAsia="宋体"/>
                <w:b w:val="false"/>
              </w:rPr>
              <w:t>30,411,360.00</w:t>
            </w:r>
          </w:p>
        </w:tc>
        <w:tc>
          <w:tcPr>
            <w:tcW/>
            <w:vAlign w:val="center"/>
          </w:tcPr>
          <w:p>
            <w:pPr>
              <w:spacing w:line="240" w:lineRule="auto"/>
              <w:jc w:val="right"/>
            </w:pPr>
            <w:r>
              <w:rPr>
                <w:rFonts w:ascii="宋体" w:hAnsi="宋体" w:cs="宋体" w:eastAsia="宋体"/>
                <w:b w:val="false"/>
              </w:rPr>
              <w:t>8.32</w:t>
            </w:r>
          </w:p>
        </w:tc>
      </w:tr>
      <w:tr>
        <w:tc>
          <w:tcPr>
            <w:tcW/>
            <w:vAlign w:val="center"/>
          </w:tcPr>
          <w:p>
            <w:pPr>
              <w:spacing w:line="240" w:lineRule="auto"/>
              <w:jc w:val="center"/>
            </w:pPr>
            <w:r>
              <w:rPr>
                <w:rFonts w:ascii="宋体" w:hAnsi="宋体" w:cs="宋体" w:eastAsia="宋体"/>
                <w:b w:val="false"/>
              </w:rPr>
              <w:t>7</w:t>
            </w:r>
          </w:p>
        </w:tc>
        <w:tc>
          <w:tcPr>
            <w:tcW/>
            <w:vAlign w:val="center"/>
          </w:tcPr>
          <w:p>
            <w:pPr>
              <w:spacing w:line="240" w:lineRule="auto"/>
              <w:jc w:val="left"/>
            </w:pPr>
            <w:r>
              <w:rPr>
                <w:rFonts w:ascii="宋体" w:hAnsi="宋体" w:cs="宋体" w:eastAsia="宋体"/>
                <w:b w:val="false"/>
              </w:rPr>
              <w:t>002414</w:t>
            </w:r>
          </w:p>
        </w:tc>
        <w:tc>
          <w:tcPr>
            <w:tcW/>
            <w:vAlign w:val="center"/>
          </w:tcPr>
          <w:p>
            <w:pPr>
              <w:spacing w:line="240" w:lineRule="auto"/>
              <w:jc w:val="left"/>
            </w:pPr>
            <w:r>
              <w:rPr>
                <w:rFonts w:ascii="宋体" w:hAnsi="宋体" w:cs="宋体" w:eastAsia="宋体"/>
                <w:b w:val="false"/>
              </w:rPr>
              <w:t>高德红外</w:t>
            </w:r>
          </w:p>
        </w:tc>
        <w:tc>
          <w:tcPr>
            <w:tcW/>
            <w:vAlign w:val="center"/>
          </w:tcPr>
          <w:p>
            <w:pPr>
              <w:spacing w:line="240" w:lineRule="auto"/>
              <w:jc w:val="right"/>
            </w:pPr>
            <w:r>
              <w:rPr>
                <w:rFonts w:ascii="宋体" w:hAnsi="宋体" w:cs="宋体" w:eastAsia="宋体"/>
                <w:b w:val="false"/>
              </w:rPr>
              <w:t>2,154,430</w:t>
            </w:r>
          </w:p>
        </w:tc>
        <w:tc>
          <w:tcPr>
            <w:tcW/>
            <w:vAlign w:val="center"/>
          </w:tcPr>
          <w:p>
            <w:pPr>
              <w:spacing w:line="240" w:lineRule="auto"/>
              <w:jc w:val="right"/>
            </w:pPr>
            <w:r>
              <w:rPr>
                <w:rFonts w:ascii="宋体" w:hAnsi="宋体" w:cs="宋体" w:eastAsia="宋体"/>
                <w:b w:val="false"/>
              </w:rPr>
              <w:t>26,607,210.50</w:t>
            </w:r>
          </w:p>
        </w:tc>
        <w:tc>
          <w:tcPr>
            <w:tcW/>
            <w:vAlign w:val="center"/>
          </w:tcPr>
          <w:p>
            <w:pPr>
              <w:spacing w:line="240" w:lineRule="auto"/>
              <w:jc w:val="right"/>
            </w:pPr>
            <w:r>
              <w:rPr>
                <w:rFonts w:ascii="宋体" w:hAnsi="宋体" w:cs="宋体" w:eastAsia="宋体"/>
                <w:b w:val="false"/>
              </w:rPr>
              <w:t>7.28</w:t>
            </w:r>
          </w:p>
        </w:tc>
      </w:tr>
      <w:tr>
        <w:tc>
          <w:tcPr>
            <w:tcW/>
            <w:vAlign w:val="center"/>
          </w:tcPr>
          <w:p>
            <w:pPr>
              <w:spacing w:line="240" w:lineRule="auto"/>
              <w:jc w:val="center"/>
            </w:pPr>
            <w:r>
              <w:rPr>
                <w:rFonts w:ascii="宋体" w:hAnsi="宋体" w:cs="宋体" w:eastAsia="宋体"/>
                <w:b w:val="false"/>
              </w:rPr>
              <w:t>8</w:t>
            </w:r>
          </w:p>
        </w:tc>
        <w:tc>
          <w:tcPr>
            <w:tcW/>
            <w:vAlign w:val="center"/>
          </w:tcPr>
          <w:p>
            <w:pPr>
              <w:spacing w:line="240" w:lineRule="auto"/>
              <w:jc w:val="left"/>
            </w:pPr>
            <w:r>
              <w:rPr>
                <w:rFonts w:ascii="宋体" w:hAnsi="宋体" w:cs="宋体" w:eastAsia="宋体"/>
                <w:b w:val="false"/>
              </w:rPr>
              <w:t>300922</w:t>
            </w:r>
          </w:p>
        </w:tc>
        <w:tc>
          <w:tcPr>
            <w:tcW/>
            <w:vAlign w:val="center"/>
          </w:tcPr>
          <w:p>
            <w:pPr>
              <w:spacing w:line="240" w:lineRule="auto"/>
              <w:jc w:val="left"/>
            </w:pPr>
            <w:r>
              <w:rPr>
                <w:rFonts w:ascii="宋体" w:hAnsi="宋体" w:cs="宋体" w:eastAsia="宋体"/>
                <w:b w:val="false"/>
              </w:rPr>
              <w:t>天秦装备</w:t>
            </w:r>
          </w:p>
        </w:tc>
        <w:tc>
          <w:tcPr>
            <w:tcW/>
            <w:vAlign w:val="center"/>
          </w:tcPr>
          <w:p>
            <w:pPr>
              <w:spacing w:line="240" w:lineRule="auto"/>
              <w:jc w:val="right"/>
            </w:pPr>
            <w:r>
              <w:rPr>
                <w:rFonts w:ascii="宋体" w:hAnsi="宋体" w:cs="宋体" w:eastAsia="宋体"/>
                <w:b w:val="false"/>
              </w:rPr>
              <w:t>801,500</w:t>
            </w:r>
          </w:p>
        </w:tc>
        <w:tc>
          <w:tcPr>
            <w:tcW/>
            <w:vAlign w:val="center"/>
          </w:tcPr>
          <w:p>
            <w:pPr>
              <w:spacing w:line="240" w:lineRule="auto"/>
              <w:jc w:val="right"/>
            </w:pPr>
            <w:r>
              <w:rPr>
                <w:rFonts w:ascii="宋体" w:hAnsi="宋体" w:cs="宋体" w:eastAsia="宋体"/>
                <w:b w:val="false"/>
              </w:rPr>
              <w:t>22,097,355.00</w:t>
            </w:r>
          </w:p>
        </w:tc>
        <w:tc>
          <w:tcPr>
            <w:tcW/>
            <w:vAlign w:val="center"/>
          </w:tcPr>
          <w:p>
            <w:pPr>
              <w:spacing w:line="240" w:lineRule="auto"/>
              <w:jc w:val="right"/>
            </w:pPr>
            <w:r>
              <w:rPr>
                <w:rFonts w:ascii="宋体" w:hAnsi="宋体" w:cs="宋体" w:eastAsia="宋体"/>
                <w:b w:val="false"/>
              </w:rPr>
              <w:t>6.05</w:t>
            </w:r>
          </w:p>
        </w:tc>
      </w:tr>
      <w:tr>
        <w:tc>
          <w:tcPr>
            <w:tcW/>
            <w:vAlign w:val="center"/>
          </w:tcPr>
          <w:p>
            <w:pPr>
              <w:spacing w:line="240" w:lineRule="auto"/>
              <w:jc w:val="center"/>
            </w:pPr>
            <w:r>
              <w:rPr>
                <w:rFonts w:ascii="宋体" w:hAnsi="宋体" w:cs="宋体" w:eastAsia="宋体"/>
                <w:b w:val="false"/>
              </w:rPr>
              <w:t>9</w:t>
            </w:r>
          </w:p>
        </w:tc>
        <w:tc>
          <w:tcPr>
            <w:tcW/>
            <w:vAlign w:val="center"/>
          </w:tcPr>
          <w:p>
            <w:pPr>
              <w:spacing w:line="240" w:lineRule="auto"/>
              <w:jc w:val="left"/>
            </w:pPr>
            <w:r>
              <w:rPr>
                <w:rFonts w:ascii="宋体" w:hAnsi="宋体" w:cs="宋体" w:eastAsia="宋体"/>
                <w:b w:val="false"/>
              </w:rPr>
              <w:t>688002</w:t>
            </w:r>
          </w:p>
        </w:tc>
        <w:tc>
          <w:tcPr>
            <w:tcW/>
            <w:vAlign w:val="center"/>
          </w:tcPr>
          <w:p>
            <w:pPr>
              <w:spacing w:line="240" w:lineRule="auto"/>
              <w:jc w:val="left"/>
            </w:pPr>
            <w:r>
              <w:rPr>
                <w:rFonts w:ascii="宋体" w:hAnsi="宋体" w:cs="宋体" w:eastAsia="宋体"/>
                <w:b w:val="false"/>
              </w:rPr>
              <w:t>睿创微纳</w:t>
            </w:r>
          </w:p>
        </w:tc>
        <w:tc>
          <w:tcPr>
            <w:tcW/>
            <w:vAlign w:val="center"/>
          </w:tcPr>
          <w:p>
            <w:pPr>
              <w:spacing w:line="240" w:lineRule="auto"/>
              <w:jc w:val="right"/>
            </w:pPr>
            <w:r>
              <w:rPr>
                <w:rFonts w:ascii="宋体" w:hAnsi="宋体" w:cs="宋体" w:eastAsia="宋体"/>
                <w:b w:val="false"/>
              </w:rPr>
              <w:t>241,362</w:t>
            </w:r>
          </w:p>
        </w:tc>
        <w:tc>
          <w:tcPr>
            <w:tcW/>
            <w:vAlign w:val="center"/>
          </w:tcPr>
          <w:p>
            <w:pPr>
              <w:spacing w:line="240" w:lineRule="auto"/>
              <w:jc w:val="right"/>
            </w:pPr>
            <w:r>
              <w:rPr>
                <w:rFonts w:ascii="宋体" w:hAnsi="宋体" w:cs="宋体" w:eastAsia="宋体"/>
                <w:b w:val="false"/>
              </w:rPr>
              <w:t>21,346,055.28</w:t>
            </w:r>
          </w:p>
        </w:tc>
        <w:tc>
          <w:tcPr>
            <w:tcW/>
            <w:vAlign w:val="center"/>
          </w:tcPr>
          <w:p>
            <w:pPr>
              <w:spacing w:line="240" w:lineRule="auto"/>
              <w:jc w:val="right"/>
            </w:pPr>
            <w:r>
              <w:rPr>
                <w:rFonts w:ascii="宋体" w:hAnsi="宋体" w:cs="宋体" w:eastAsia="宋体"/>
                <w:b w:val="false"/>
              </w:rPr>
              <w:t>5.84</w:t>
            </w:r>
          </w:p>
        </w:tc>
      </w:tr>
      <w:tr>
        <w:tc>
          <w:tcPr>
            <w:tcW/>
            <w:vAlign w:val="center"/>
          </w:tcPr>
          <w:p>
            <w:pPr>
              <w:spacing w:line="240" w:lineRule="auto"/>
              <w:jc w:val="center"/>
            </w:pPr>
            <w:r>
              <w:rPr>
                <w:rFonts w:ascii="宋体" w:hAnsi="宋体" w:cs="宋体" w:eastAsia="宋体"/>
                <w:b w:val="false"/>
              </w:rPr>
              <w:t>10</w:t>
            </w:r>
          </w:p>
        </w:tc>
        <w:tc>
          <w:tcPr>
            <w:tcW/>
            <w:vAlign w:val="center"/>
          </w:tcPr>
          <w:p>
            <w:pPr>
              <w:spacing w:line="240" w:lineRule="auto"/>
              <w:jc w:val="left"/>
            </w:pPr>
            <w:r>
              <w:rPr>
                <w:rFonts w:ascii="宋体" w:hAnsi="宋体" w:cs="宋体" w:eastAsia="宋体"/>
                <w:b w:val="false"/>
              </w:rPr>
              <w:t>688375</w:t>
            </w:r>
          </w:p>
        </w:tc>
        <w:tc>
          <w:tcPr>
            <w:tcW/>
            <w:vAlign w:val="center"/>
          </w:tcPr>
          <w:p>
            <w:pPr>
              <w:spacing w:line="240" w:lineRule="auto"/>
              <w:jc w:val="left"/>
            </w:pPr>
            <w:r>
              <w:rPr>
                <w:rFonts w:ascii="宋体" w:hAnsi="宋体" w:cs="宋体" w:eastAsia="宋体"/>
                <w:b w:val="false"/>
              </w:rPr>
              <w:t>国博电子</w:t>
            </w:r>
          </w:p>
        </w:tc>
        <w:tc>
          <w:tcPr>
            <w:tcW/>
            <w:vAlign w:val="center"/>
          </w:tcPr>
          <w:p>
            <w:pPr>
              <w:spacing w:line="240" w:lineRule="auto"/>
              <w:jc w:val="right"/>
            </w:pPr>
            <w:r>
              <w:rPr>
                <w:rFonts w:ascii="宋体" w:hAnsi="宋体" w:cs="宋体" w:eastAsia="宋体"/>
                <w:b w:val="false"/>
              </w:rPr>
              <w:t>237,463</w:t>
            </w:r>
          </w:p>
        </w:tc>
        <w:tc>
          <w:tcPr>
            <w:tcW/>
            <w:vAlign w:val="center"/>
          </w:tcPr>
          <w:p>
            <w:pPr>
              <w:spacing w:line="240" w:lineRule="auto"/>
              <w:jc w:val="right"/>
            </w:pPr>
            <w:r>
              <w:rPr>
                <w:rFonts w:ascii="宋体" w:hAnsi="宋体" w:cs="宋体" w:eastAsia="宋体"/>
                <w:b w:val="false"/>
              </w:rPr>
              <w:t>18,213,412.10</w:t>
            </w:r>
          </w:p>
        </w:tc>
        <w:tc>
          <w:tcPr>
            <w:tcW/>
            <w:vAlign w:val="center"/>
          </w:tcPr>
          <w:p>
            <w:pPr>
              <w:spacing w:line="240" w:lineRule="auto"/>
              <w:jc w:val="right"/>
            </w:pPr>
            <w:r>
              <w:rPr>
                <w:rFonts w:ascii="宋体" w:hAnsi="宋体" w:cs="宋体" w:eastAsia="宋体"/>
                <w:b w:val="false"/>
              </w:rPr>
              <w:t>4.98</w:t>
            </w:r>
          </w:p>
        </w:tc>
      </w:tr>
    </w:tbl>
    <w:p/>
    <w:p>
      <w:pPr>
        <w:pStyle w:val="2"/>
        <w:jc w:val="left"/>
      </w:pPr>
      <w:r>
        <w:rPr>
          <w:rFonts w:ascii="宋体" w:hAnsi="宋体" w:cs="宋体" w:eastAsia="宋体"/>
        </w:rPr>
        <w:t>5.4 报告期末按债券品种分类的债券投资组合</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615"/>
            <w:vAlign w:val="center"/>
          </w:tcPr>
          <w:tcPr>
            <w:shd w:fill="d9d9d9"/>
          </w:tcPr>
          <w:p>
            <w:pPr>
              <w:spacing w:line="240" w:lineRule="auto"/>
              <w:jc w:val="center"/>
            </w:pPr>
            <w:r>
              <w:rPr>
                <w:rFonts w:ascii="宋体" w:hAnsi="宋体" w:cs="宋体" w:eastAsia="宋体"/>
                <w:b w:val="false"/>
              </w:rPr>
              <w:t>序号</w:t>
            </w:r>
          </w:p>
        </w:tc>
        <w:tc>
          <w:tcPr>
            <w:tcW w:type="pct" w:w="1538"/>
            <w:vAlign w:val="center"/>
          </w:tcPr>
          <w:tcPr>
            <w:shd w:fill="d9d9d9"/>
          </w:tcPr>
          <w:p>
            <w:pPr>
              <w:spacing w:line="240" w:lineRule="auto"/>
              <w:jc w:val="center"/>
            </w:pPr>
            <w:r>
              <w:rPr>
                <w:rFonts w:ascii="宋体" w:hAnsi="宋体" w:cs="宋体" w:eastAsia="宋体"/>
                <w:b w:val="false"/>
              </w:rPr>
              <w:t>债券品种</w:t>
            </w:r>
          </w:p>
        </w:tc>
        <w:tc>
          <w:tcPr>
            <w:tcW w:type="pct" w:w="769"/>
            <w:vAlign w:val="center"/>
          </w:tcPr>
          <w:tcPr>
            <w:shd w:fill="d9d9d9"/>
          </w:tcPr>
          <w:p>
            <w:pPr>
              <w:spacing w:line="240" w:lineRule="auto"/>
              <w:jc w:val="center"/>
            </w:pPr>
            <w:r>
              <w:rPr>
                <w:rFonts w:ascii="宋体" w:hAnsi="宋体" w:cs="宋体" w:eastAsia="宋体"/>
                <w:b w:val="false"/>
              </w:rPr>
              <w:t>公允价值(元)</w:t>
            </w:r>
          </w:p>
        </w:tc>
        <w:tc>
          <w:tcPr>
            <w:tcW w:type="pct" w:w="1077"/>
            <w:vAlign w:val="center"/>
          </w:tcPr>
          <w:tcPr>
            <w:shd w:fill="d9d9d9"/>
          </w:tcPr>
          <w:p>
            <w:pPr>
              <w:spacing w:line="240" w:lineRule="auto"/>
              <w:jc w:val="center"/>
            </w:pPr>
            <w:r>
              <w:rPr>
                <w:rFonts w:ascii="宋体" w:hAnsi="宋体" w:cs="宋体" w:eastAsia="宋体"/>
                <w:b w:val="false"/>
              </w:rPr>
              <w:t>占基金资产净值比例(％)</w:t>
            </w:r>
          </w:p>
        </w:tc>
      </w:tr>
      <w:tr>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left"/>
            </w:pPr>
            <w:r>
              <w:rPr>
                <w:rFonts w:ascii="宋体" w:hAnsi="宋体" w:cs="宋体" w:eastAsia="宋体"/>
                <w:b w:val="false"/>
              </w:rPr>
              <w:t>国家债券</w:t>
            </w:r>
          </w:p>
        </w:tc>
        <w:tc>
          <w:tcPr>
            <w:tcW/>
            <w:vAlign w:val="center"/>
          </w:tcPr>
          <w:p>
            <w:pPr>
              <w:spacing w:line="240" w:lineRule="auto"/>
              <w:jc w:val="right"/>
            </w:pPr>
            <w:r>
              <w:rPr>
                <w:rFonts w:ascii="宋体" w:hAnsi="宋体" w:cs="宋体" w:eastAsia="宋体"/>
                <w:b w:val="false"/>
              </w:rPr>
              <w:t>18,292,633.73</w:t>
            </w:r>
          </w:p>
        </w:tc>
        <w:tc>
          <w:tcPr>
            <w:tcW/>
            <w:vAlign w:val="center"/>
          </w:tcPr>
          <w:p>
            <w:pPr>
              <w:spacing w:line="240" w:lineRule="auto"/>
              <w:jc w:val="right"/>
            </w:pPr>
            <w:r>
              <w:rPr>
                <w:rFonts w:ascii="宋体" w:hAnsi="宋体" w:cs="宋体" w:eastAsia="宋体"/>
                <w:b w:val="false"/>
              </w:rPr>
              <w:t>5.01</w:t>
            </w:r>
          </w:p>
        </w:tc>
      </w:tr>
      <w:tr>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left"/>
            </w:pPr>
            <w:r>
              <w:rPr>
                <w:rFonts w:ascii="宋体" w:hAnsi="宋体" w:cs="宋体" w:eastAsia="宋体"/>
                <w:b w:val="false"/>
              </w:rPr>
              <w:t>央行票据</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3</w:t>
            </w:r>
          </w:p>
        </w:tc>
        <w:tc>
          <w:tcPr>
            <w:tcW/>
            <w:vAlign w:val="center"/>
          </w:tcPr>
          <w:p>
            <w:pPr>
              <w:spacing w:line="240" w:lineRule="auto"/>
              <w:jc w:val="left"/>
            </w:pPr>
            <w:r>
              <w:rPr>
                <w:rFonts w:ascii="宋体" w:hAnsi="宋体" w:cs="宋体" w:eastAsia="宋体"/>
                <w:b w:val="false"/>
              </w:rPr>
              <w:t>金融债券</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p>
        </w:tc>
        <w:tc>
          <w:tcPr>
            <w:tcW/>
            <w:vAlign w:val="center"/>
          </w:tcPr>
          <w:p>
            <w:pPr>
              <w:spacing w:line="240" w:lineRule="auto"/>
              <w:jc w:val="left"/>
            </w:pPr>
            <w:r>
              <w:rPr>
                <w:rFonts w:ascii="宋体" w:hAnsi="宋体" w:cs="宋体" w:eastAsia="宋体"/>
                <w:b w:val="false"/>
              </w:rPr>
              <w:t>其中：政策性金融债</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4</w:t>
            </w:r>
          </w:p>
        </w:tc>
        <w:tc>
          <w:tcPr>
            <w:tcW/>
            <w:vAlign w:val="center"/>
          </w:tcPr>
          <w:p>
            <w:pPr>
              <w:spacing w:line="240" w:lineRule="auto"/>
              <w:jc w:val="left"/>
            </w:pPr>
            <w:r>
              <w:rPr>
                <w:rFonts w:ascii="宋体" w:hAnsi="宋体" w:cs="宋体" w:eastAsia="宋体"/>
                <w:b w:val="false"/>
              </w:rPr>
              <w:t>企业债券</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5</w:t>
            </w:r>
          </w:p>
        </w:tc>
        <w:tc>
          <w:tcPr>
            <w:tcW/>
            <w:vAlign w:val="center"/>
          </w:tcPr>
          <w:p>
            <w:pPr>
              <w:spacing w:line="240" w:lineRule="auto"/>
              <w:jc w:val="left"/>
            </w:pPr>
            <w:r>
              <w:rPr>
                <w:rFonts w:ascii="宋体" w:hAnsi="宋体" w:cs="宋体" w:eastAsia="宋体"/>
                <w:b w:val="false"/>
              </w:rPr>
              <w:t>企业短期融资券</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6</w:t>
            </w:r>
          </w:p>
        </w:tc>
        <w:tc>
          <w:tcPr>
            <w:tcW/>
            <w:vAlign w:val="center"/>
          </w:tcPr>
          <w:p>
            <w:pPr>
              <w:spacing w:line="240" w:lineRule="auto"/>
              <w:jc w:val="left"/>
            </w:pPr>
            <w:r>
              <w:rPr>
                <w:rFonts w:ascii="宋体" w:hAnsi="宋体" w:cs="宋体" w:eastAsia="宋体"/>
                <w:b w:val="false"/>
              </w:rPr>
              <w:t>中期票据</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7</w:t>
            </w:r>
          </w:p>
        </w:tc>
        <w:tc>
          <w:tcPr>
            <w:tcW/>
            <w:vAlign w:val="center"/>
          </w:tcPr>
          <w:p>
            <w:pPr>
              <w:spacing w:line="240" w:lineRule="auto"/>
              <w:jc w:val="left"/>
            </w:pPr>
            <w:r>
              <w:rPr>
                <w:rFonts w:ascii="宋体" w:hAnsi="宋体" w:cs="宋体" w:eastAsia="宋体"/>
                <w:b w:val="false"/>
              </w:rPr>
              <w:t>可转债（可交换债）</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8</w:t>
            </w:r>
          </w:p>
        </w:tc>
        <w:tc>
          <w:tcPr>
            <w:tcW/>
            <w:vAlign w:val="center"/>
          </w:tcPr>
          <w:p>
            <w:pPr>
              <w:spacing w:line="240" w:lineRule="auto"/>
              <w:jc w:val="left"/>
            </w:pPr>
            <w:r>
              <w:rPr>
                <w:rFonts w:ascii="宋体" w:hAnsi="宋体" w:cs="宋体" w:eastAsia="宋体"/>
                <w:b w:val="false"/>
              </w:rPr>
              <w:t>同业存单</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9</w:t>
            </w:r>
          </w:p>
        </w:tc>
        <w:tc>
          <w:tcPr>
            <w:tcW/>
            <w:vAlign w:val="center"/>
          </w:tcPr>
          <w:p>
            <w:pPr>
              <w:spacing w:line="240" w:lineRule="auto"/>
              <w:jc w:val="left"/>
            </w:pPr>
            <w:r>
              <w:rPr>
                <w:rFonts w:ascii="宋体" w:hAnsi="宋体" w:cs="宋体" w:eastAsia="宋体"/>
                <w:b w:val="false"/>
              </w:rPr>
              <w:t>其他</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10</w:t>
            </w:r>
          </w:p>
        </w:tc>
        <w:tc>
          <w:tcPr>
            <w:tcW/>
            <w:vAlign w:val="center"/>
          </w:tcPr>
          <w:p>
            <w:pPr>
              <w:spacing w:line="240" w:lineRule="auto"/>
              <w:jc w:val="left"/>
            </w:pPr>
            <w:r>
              <w:rPr>
                <w:rFonts w:ascii="宋体" w:hAnsi="宋体" w:cs="宋体" w:eastAsia="宋体"/>
                <w:b w:val="false"/>
              </w:rPr>
              <w:t>合计</w:t>
            </w:r>
          </w:p>
        </w:tc>
        <w:tc>
          <w:tcPr>
            <w:tcW/>
            <w:vAlign w:val="center"/>
          </w:tcPr>
          <w:p>
            <w:pPr>
              <w:spacing w:line="240" w:lineRule="auto"/>
              <w:jc w:val="right"/>
            </w:pPr>
            <w:r>
              <w:rPr>
                <w:rFonts w:ascii="宋体" w:hAnsi="宋体" w:cs="宋体" w:eastAsia="宋体"/>
                <w:b w:val="false"/>
              </w:rPr>
              <w:t>18,292,633.73</w:t>
            </w:r>
          </w:p>
        </w:tc>
        <w:tc>
          <w:tcPr>
            <w:tcW/>
            <w:vAlign w:val="center"/>
          </w:tcPr>
          <w:p>
            <w:pPr>
              <w:spacing w:line="240" w:lineRule="auto"/>
              <w:jc w:val="right"/>
            </w:pPr>
            <w:r>
              <w:rPr>
                <w:rFonts w:ascii="宋体" w:hAnsi="宋体" w:cs="宋体" w:eastAsia="宋体"/>
                <w:b w:val="false"/>
              </w:rPr>
              <w:t>5.01</w:t>
            </w:r>
          </w:p>
        </w:tc>
      </w:tr>
    </w:tbl>
    <w:p/>
    <w:p>
      <w:pPr>
        <w:pStyle w:val="2"/>
        <w:jc w:val="left"/>
      </w:pPr>
      <w:r>
        <w:rPr>
          <w:rFonts w:ascii="宋体" w:hAnsi="宋体" w:cs="宋体" w:eastAsia="宋体"/>
        </w:rPr>
        <w:t>5.5 报告期末按公允价值占基金资产净值比例大小排序的前五名债券投资明细</w:t>
      </w:r>
    </w:p>
    <w:tbl>
      <w:tblPr>
        <w:tblW w:w="5000" w:type="pct"/>
        <w:tblBorders>
          <w:top w:val="single" w:sz="4"/>
          <w:left w:val="single" w:sz="4"/>
          <w:bottom w:val="single" w:sz="4"/>
          <w:right w:val="single" w:sz="4"/>
          <w:insideH w:val="single" w:sz="4"/>
          <w:insideV w:val="single" w:sz="4"/>
        </w:tblBorders>
      </w:tblPr>
      <w:tblGrid>
        <w:gridCol w:w="1510"/>
        <w:gridCol w:w="1510"/>
        <w:gridCol w:w="1510"/>
        <w:gridCol w:w="1510"/>
        <w:gridCol w:w="1510"/>
        <w:gridCol w:w="1510"/>
      </w:tblGrid>
      <w:tr>
        <w:tc>
          <w:tcPr>
            <w:tcW w:type="pct" w:w="615"/>
            <w:vAlign w:val="center"/>
          </w:tcPr>
          <w:tcPr>
            <w:shd w:fill="d9d9d9"/>
          </w:tcPr>
          <w:p>
            <w:pPr>
              <w:spacing w:line="240" w:lineRule="auto"/>
              <w:jc w:val="center"/>
            </w:pPr>
            <w:r>
              <w:rPr>
                <w:rFonts w:ascii="宋体" w:hAnsi="宋体" w:cs="宋体" w:eastAsia="宋体"/>
                <w:b w:val="false"/>
              </w:rPr>
              <w:t>序号</w:t>
            </w:r>
          </w:p>
        </w:tc>
        <w:tc>
          <w:tcPr>
            <w:tcW w:type="pct" w:w="769"/>
            <w:vAlign w:val="center"/>
          </w:tcPr>
          <w:tcPr>
            <w:shd w:fill="d9d9d9"/>
          </w:tcPr>
          <w:p>
            <w:pPr>
              <w:spacing w:line="240" w:lineRule="auto"/>
              <w:jc w:val="center"/>
            </w:pPr>
            <w:r>
              <w:rPr>
                <w:rFonts w:ascii="宋体" w:hAnsi="宋体" w:cs="宋体" w:eastAsia="宋体"/>
                <w:b w:val="false"/>
              </w:rPr>
              <w:t>债券代码</w:t>
            </w:r>
          </w:p>
        </w:tc>
        <w:tc>
          <w:tcPr>
            <w:tcW w:type="pct" w:w="769"/>
            <w:vAlign w:val="center"/>
          </w:tcPr>
          <w:tcPr>
            <w:shd w:fill="d9d9d9"/>
          </w:tcPr>
          <w:p>
            <w:pPr>
              <w:spacing w:line="240" w:lineRule="auto"/>
              <w:jc w:val="center"/>
            </w:pPr>
            <w:r>
              <w:rPr>
                <w:rFonts w:ascii="宋体" w:hAnsi="宋体" w:cs="宋体" w:eastAsia="宋体"/>
                <w:b w:val="false"/>
              </w:rPr>
              <w:t>债券名称</w:t>
            </w:r>
          </w:p>
        </w:tc>
        <w:tc>
          <w:tcPr>
            <w:tcW w:type="pct" w:w="615"/>
            <w:vAlign w:val="center"/>
          </w:tcPr>
          <w:tcPr>
            <w:shd w:fill="d9d9d9"/>
          </w:tcPr>
          <w:p>
            <w:pPr>
              <w:spacing w:line="240" w:lineRule="auto"/>
              <w:jc w:val="center"/>
            </w:pPr>
            <w:r>
              <w:rPr>
                <w:rFonts w:ascii="宋体" w:hAnsi="宋体" w:cs="宋体" w:eastAsia="宋体"/>
                <w:b w:val="false"/>
              </w:rPr>
              <w:t>数量(张)</w:t>
            </w:r>
          </w:p>
        </w:tc>
        <w:tc>
          <w:tcPr>
            <w:tcW w:type="pct" w:w="923"/>
            <w:vAlign w:val="center"/>
          </w:tcPr>
          <w:tcPr>
            <w:shd w:fill="d9d9d9"/>
          </w:tcPr>
          <w:p>
            <w:pPr>
              <w:spacing w:line="240" w:lineRule="auto"/>
              <w:jc w:val="center"/>
            </w:pPr>
            <w:r>
              <w:rPr>
                <w:rFonts w:ascii="宋体" w:hAnsi="宋体" w:cs="宋体" w:eastAsia="宋体"/>
                <w:b w:val="false"/>
              </w:rPr>
              <w:t>公允价值(元)</w:t>
            </w:r>
          </w:p>
        </w:tc>
        <w:tc>
          <w:tcPr>
            <w:tcW w:type="pct" w:w="923"/>
            <w:vAlign w:val="center"/>
          </w:tcPr>
          <w:tcPr>
            <w:shd w:fill="d9d9d9"/>
          </w:tcPr>
          <w:p>
            <w:pPr>
              <w:spacing w:line="240" w:lineRule="auto"/>
              <w:jc w:val="center"/>
            </w:pPr>
            <w:r>
              <w:rPr>
                <w:rFonts w:ascii="宋体" w:hAnsi="宋体" w:cs="宋体" w:eastAsia="宋体"/>
                <w:b w:val="false"/>
              </w:rPr>
              <w:t>占基金资产净值比例(%)</w:t>
            </w:r>
          </w:p>
        </w:tc>
      </w:tr>
      <w:tr>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left"/>
            </w:pPr>
            <w:r>
              <w:rPr>
                <w:rFonts w:ascii="宋体" w:hAnsi="宋体" w:cs="宋体" w:eastAsia="宋体"/>
                <w:b w:val="false"/>
              </w:rPr>
              <w:t>019758</w:t>
            </w:r>
          </w:p>
        </w:tc>
        <w:tc>
          <w:tcPr>
            <w:tcW/>
            <w:vAlign w:val="center"/>
          </w:tcPr>
          <w:p>
            <w:pPr>
              <w:spacing w:line="240" w:lineRule="auto"/>
              <w:jc w:val="left"/>
            </w:pPr>
            <w:r>
              <w:rPr>
                <w:rFonts w:ascii="宋体" w:hAnsi="宋体" w:cs="宋体" w:eastAsia="宋体"/>
                <w:b w:val="false"/>
              </w:rPr>
              <w:t>24国债21</w:t>
            </w:r>
          </w:p>
        </w:tc>
        <w:tc>
          <w:tcPr>
            <w:tcW/>
            <w:vAlign w:val="center"/>
          </w:tcPr>
          <w:p>
            <w:pPr>
              <w:spacing w:line="240" w:lineRule="auto"/>
              <w:jc w:val="right"/>
            </w:pPr>
            <w:r>
              <w:rPr>
                <w:rFonts w:ascii="宋体" w:hAnsi="宋体" w:cs="宋体" w:eastAsia="宋体"/>
                <w:b w:val="false"/>
              </w:rPr>
              <w:t>138,000</w:t>
            </w:r>
          </w:p>
        </w:tc>
        <w:tc>
          <w:tcPr>
            <w:tcW/>
            <w:vAlign w:val="center"/>
          </w:tcPr>
          <w:p>
            <w:pPr>
              <w:spacing w:line="240" w:lineRule="auto"/>
              <w:jc w:val="right"/>
            </w:pPr>
            <w:r>
              <w:rPr>
                <w:rFonts w:ascii="宋体" w:hAnsi="宋体" w:cs="宋体" w:eastAsia="宋体"/>
                <w:b w:val="false"/>
              </w:rPr>
              <w:t>13,971,471.62</w:t>
            </w:r>
          </w:p>
        </w:tc>
        <w:tc>
          <w:tcPr>
            <w:tcW/>
            <w:vAlign w:val="center"/>
          </w:tcPr>
          <w:p>
            <w:pPr>
              <w:spacing w:line="240" w:lineRule="auto"/>
              <w:jc w:val="right"/>
            </w:pPr>
            <w:r>
              <w:rPr>
                <w:rFonts w:ascii="宋体" w:hAnsi="宋体" w:cs="宋体" w:eastAsia="宋体"/>
                <w:b w:val="false"/>
              </w:rPr>
              <w:t>3.82</w:t>
            </w:r>
          </w:p>
        </w:tc>
      </w:tr>
      <w:tr>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left"/>
            </w:pPr>
            <w:r>
              <w:rPr>
                <w:rFonts w:ascii="宋体" w:hAnsi="宋体" w:cs="宋体" w:eastAsia="宋体"/>
                <w:b w:val="false"/>
              </w:rPr>
              <w:t>019766</w:t>
            </w:r>
          </w:p>
        </w:tc>
        <w:tc>
          <w:tcPr>
            <w:tcW/>
            <w:vAlign w:val="center"/>
          </w:tcPr>
          <w:p>
            <w:pPr>
              <w:spacing w:line="240" w:lineRule="auto"/>
              <w:jc w:val="left"/>
            </w:pPr>
            <w:r>
              <w:rPr>
                <w:rFonts w:ascii="宋体" w:hAnsi="宋体" w:cs="宋体" w:eastAsia="宋体"/>
                <w:b w:val="false"/>
              </w:rPr>
              <w:t>25国债01</w:t>
            </w:r>
          </w:p>
        </w:tc>
        <w:tc>
          <w:tcPr>
            <w:tcW/>
            <w:vAlign w:val="center"/>
          </w:tcPr>
          <w:p>
            <w:pPr>
              <w:spacing w:line="240" w:lineRule="auto"/>
              <w:jc w:val="right"/>
            </w:pPr>
            <w:r>
              <w:rPr>
                <w:rFonts w:ascii="宋体" w:hAnsi="宋体" w:cs="宋体" w:eastAsia="宋体"/>
                <w:b w:val="false"/>
              </w:rPr>
              <w:t>22,000</w:t>
            </w:r>
          </w:p>
        </w:tc>
        <w:tc>
          <w:tcPr>
            <w:tcW/>
            <w:vAlign w:val="center"/>
          </w:tcPr>
          <w:p>
            <w:pPr>
              <w:spacing w:line="240" w:lineRule="auto"/>
              <w:jc w:val="right"/>
            </w:pPr>
            <w:r>
              <w:rPr>
                <w:rFonts w:ascii="宋体" w:hAnsi="宋体" w:cs="宋体" w:eastAsia="宋体"/>
                <w:b w:val="false"/>
              </w:rPr>
              <w:t>2,217,008.71</w:t>
            </w:r>
          </w:p>
        </w:tc>
        <w:tc>
          <w:tcPr>
            <w:tcW/>
            <w:vAlign w:val="center"/>
          </w:tcPr>
          <w:p>
            <w:pPr>
              <w:spacing w:line="240" w:lineRule="auto"/>
              <w:jc w:val="right"/>
            </w:pPr>
            <w:r>
              <w:rPr>
                <w:rFonts w:ascii="宋体" w:hAnsi="宋体" w:cs="宋体" w:eastAsia="宋体"/>
                <w:b w:val="false"/>
              </w:rPr>
              <w:t>0.61</w:t>
            </w:r>
          </w:p>
        </w:tc>
      </w:tr>
      <w:tr>
        <w:tc>
          <w:tcPr>
            <w:tcW/>
            <w:vAlign w:val="center"/>
          </w:tcPr>
          <w:p>
            <w:pPr>
              <w:spacing w:line="240" w:lineRule="auto"/>
              <w:jc w:val="center"/>
            </w:pPr>
            <w:r>
              <w:rPr>
                <w:rFonts w:ascii="宋体" w:hAnsi="宋体" w:cs="宋体" w:eastAsia="宋体"/>
                <w:b w:val="false"/>
              </w:rPr>
              <w:t>3</w:t>
            </w:r>
          </w:p>
        </w:tc>
        <w:tc>
          <w:tcPr>
            <w:tcW/>
            <w:vAlign w:val="center"/>
          </w:tcPr>
          <w:p>
            <w:pPr>
              <w:spacing w:line="240" w:lineRule="auto"/>
              <w:jc w:val="left"/>
            </w:pPr>
            <w:r>
              <w:rPr>
                <w:rFonts w:ascii="宋体" w:hAnsi="宋体" w:cs="宋体" w:eastAsia="宋体"/>
                <w:b w:val="false"/>
              </w:rPr>
              <w:t>019785</w:t>
            </w:r>
          </w:p>
        </w:tc>
        <w:tc>
          <w:tcPr>
            <w:tcW/>
            <w:vAlign w:val="center"/>
          </w:tcPr>
          <w:p>
            <w:pPr>
              <w:spacing w:line="240" w:lineRule="auto"/>
              <w:jc w:val="left"/>
            </w:pPr>
            <w:r>
              <w:rPr>
                <w:rFonts w:ascii="宋体" w:hAnsi="宋体" w:cs="宋体" w:eastAsia="宋体"/>
                <w:b w:val="false"/>
              </w:rPr>
              <w:t>25国债13</w:t>
            </w:r>
          </w:p>
        </w:tc>
        <w:tc>
          <w:tcPr>
            <w:tcW/>
            <w:vAlign w:val="center"/>
          </w:tcPr>
          <w:p>
            <w:pPr>
              <w:spacing w:line="240" w:lineRule="auto"/>
              <w:jc w:val="right"/>
            </w:pPr>
            <w:r>
              <w:rPr>
                <w:rFonts w:ascii="宋体" w:hAnsi="宋体" w:cs="宋体" w:eastAsia="宋体"/>
                <w:b w:val="false"/>
              </w:rPr>
              <w:t>21,000</w:t>
            </w:r>
          </w:p>
        </w:tc>
        <w:tc>
          <w:tcPr>
            <w:tcW/>
            <w:vAlign w:val="center"/>
          </w:tcPr>
          <w:p>
            <w:pPr>
              <w:spacing w:line="240" w:lineRule="auto"/>
              <w:jc w:val="right"/>
            </w:pPr>
            <w:r>
              <w:rPr>
                <w:rFonts w:ascii="宋体" w:hAnsi="宋体" w:cs="宋体" w:eastAsia="宋体"/>
                <w:b w:val="false"/>
              </w:rPr>
              <w:t>2,104,153.40</w:t>
            </w:r>
          </w:p>
        </w:tc>
        <w:tc>
          <w:tcPr>
            <w:tcW/>
            <w:vAlign w:val="center"/>
          </w:tcPr>
          <w:p>
            <w:pPr>
              <w:spacing w:line="240" w:lineRule="auto"/>
              <w:jc w:val="right"/>
            </w:pPr>
            <w:r>
              <w:rPr>
                <w:rFonts w:ascii="宋体" w:hAnsi="宋体" w:cs="宋体" w:eastAsia="宋体"/>
                <w:b w:val="false"/>
              </w:rPr>
              <w:t>0.58</w:t>
            </w:r>
          </w:p>
        </w:tc>
      </w:tr>
    </w:tbl>
    <w:p>
      <w:r>
        <w:rPr>
          <w:rFonts w:ascii="宋体" w:hAnsi="宋体" w:cs="宋体" w:eastAsia="宋体"/>
          <w:b w:val="false"/>
        </w:rPr>
        <w:t>注：本基金本报告期末仅持有上述债券。</w:t>
      </w:r>
    </w:p>
    <w:p/>
    <w:p>
      <w:pPr>
        <w:pStyle w:val="2"/>
        <w:jc w:val="left"/>
      </w:pPr>
      <w:r>
        <w:rPr>
          <w:rFonts w:ascii="宋体" w:hAnsi="宋体" w:cs="宋体" w:eastAsia="宋体"/>
        </w:rPr>
        <w:t>5.6 报告期末按公允价值占基金资产净值比例大小排序的前十名资产支持证券投资明细</w:t>
      </w:r>
    </w:p>
    <w:p>
      <w:r>
        <w:rPr>
          <w:rFonts w:ascii="宋体" w:hAnsi="宋体" w:cs="宋体" w:eastAsia="宋体"/>
          <w:b w:val="false"/>
        </w:rPr>
        <w:t xml:space="preserve">    本基金本报告期末未持有资产支持证券。</w:t>
      </w:r>
    </w:p>
    <w:p/>
    <w:p>
      <w:pPr>
        <w:pStyle w:val="2"/>
        <w:jc w:val="left"/>
      </w:pPr>
      <w:r>
        <w:rPr>
          <w:rFonts w:ascii="宋体" w:hAnsi="宋体" w:cs="宋体" w:eastAsia="宋体"/>
        </w:rPr>
        <w:t>5.7 报告期末按公允价值占基金资产净值比例大小排序的前五名贵金属投资明细</w:t>
      </w:r>
    </w:p>
    <w:p>
      <w:r>
        <w:rPr>
          <w:rFonts w:ascii="宋体" w:hAnsi="宋体" w:cs="宋体" w:eastAsia="宋体"/>
          <w:b w:val="false"/>
        </w:rPr>
        <w:t xml:space="preserve">    本基金本报告期末未持有贵金属。</w:t>
      </w:r>
    </w:p>
    <w:p/>
    <w:p>
      <w:pPr>
        <w:pStyle w:val="2"/>
        <w:jc w:val="left"/>
      </w:pPr>
      <w:r>
        <w:rPr>
          <w:rFonts w:ascii="宋体" w:hAnsi="宋体" w:cs="宋体" w:eastAsia="宋体"/>
        </w:rPr>
        <w:t>5.8 报告期末按公允价值占基金资产净值比例大小排序的前五名权证投资明细</w:t>
      </w:r>
    </w:p>
    <w:p>
      <w:r>
        <w:rPr>
          <w:rFonts w:ascii="宋体" w:hAnsi="宋体" w:cs="宋体" w:eastAsia="宋体"/>
          <w:b w:val="false"/>
        </w:rPr>
        <w:t xml:space="preserve">    本基金本报告期末未持有权证。</w:t>
      </w:r>
    </w:p>
    <w:p/>
    <w:p>
      <w:pPr>
        <w:pStyle w:val="2"/>
        <w:jc w:val="left"/>
      </w:pPr>
      <w:r>
        <w:rPr>
          <w:rFonts w:ascii="宋体" w:hAnsi="宋体" w:cs="宋体" w:eastAsia="宋体"/>
        </w:rPr>
        <w:t>5.9 报告期末本基金投资的股指期货交易情况说明</w:t>
      </w:r>
    </w:p>
    <w:p>
      <w:r>
        <w:rPr>
          <w:rFonts w:ascii="宋体" w:hAnsi="宋体" w:cs="宋体" w:eastAsia="宋体"/>
          <w:b w:val="false"/>
        </w:rPr>
        <w:t xml:space="preserve">    本基金本报告期末未持有股指期货。</w:t>
      </w:r>
    </w:p>
    <w:p/>
    <w:p>
      <w:pPr>
        <w:pStyle w:val="2"/>
        <w:jc w:val="left"/>
      </w:pPr>
      <w:r>
        <w:rPr>
          <w:rFonts w:ascii="宋体" w:hAnsi="宋体" w:cs="宋体" w:eastAsia="宋体"/>
        </w:rPr>
        <w:t>5.10 报告期末本基金投资的国债期货交易情况说明</w:t>
      </w:r>
    </w:p>
    <w:p>
      <w:r>
        <w:rPr>
          <w:rFonts w:ascii="宋体" w:hAnsi="宋体" w:cs="宋体" w:eastAsia="宋体"/>
          <w:b w:val="false"/>
        </w:rPr>
        <w:t xml:space="preserve">    本基金本报告期末未持有国债期货。</w:t>
      </w:r>
    </w:p>
    <w:p/>
    <w:p>
      <w:pPr>
        <w:pStyle w:val="2"/>
        <w:jc w:val="left"/>
      </w:pPr>
      <w:r>
        <w:rPr>
          <w:rFonts w:ascii="宋体" w:hAnsi="宋体" w:cs="宋体" w:eastAsia="宋体"/>
        </w:rPr>
        <w:t>5.11 投资组合报告附注</w:t>
      </w:r>
    </w:p>
    <w:p>
      <w:r>
        <w:rPr>
          <w:rStyle w:val="正文"/>
          <w:rFonts w:ascii="宋体" w:hAnsi="宋体" w:cs="宋体" w:eastAsia="宋体"/>
          <w:b w:val="true"/>
        </w:rPr>
        <w:t>5.11.1 本基金投资的前十名证券的发行主体本期受到监管部门立案调查或报告编制日前一年内受到公开谴责、处罚的情形说明</w:t>
      </w:r>
    </w:p>
    <w:p>
      <w:r>
        <w:rPr>
          <w:rFonts w:ascii="宋体" w:hAnsi="宋体" w:cs="宋体" w:eastAsia="宋体"/>
          <w:b w:val="false"/>
        </w:rPr>
        <w:t xml:space="preserve">    本基金投资的前十名证券的发行主体本期未出现被监管部门立案调查，或在报告编制日前一年内受到公开谴责、处罚的情形。</w:t>
      </w:r>
    </w:p>
    <w:p/>
    <w:p>
      <w:r>
        <w:rPr>
          <w:rStyle w:val="正文"/>
          <w:rFonts w:ascii="宋体" w:hAnsi="宋体" w:cs="宋体" w:eastAsia="宋体"/>
          <w:b w:val="true"/>
        </w:rPr>
        <w:t>5.11.2 基金投资的前十名股票超出基金合同规定的备选股票库情况的说明</w:t>
      </w:r>
    </w:p>
    <w:p>
      <w:r>
        <w:rPr>
          <w:rFonts w:ascii="宋体" w:hAnsi="宋体" w:cs="宋体" w:eastAsia="宋体"/>
          <w:b w:val="false"/>
        </w:rPr>
        <w:t xml:space="preserve">    基金投资的前十名股票，均为基金合同规定备选股票库之内的股票。</w:t>
      </w:r>
    </w:p>
    <w:p/>
    <w:p>
      <w:r>
        <w:rPr>
          <w:rStyle w:val="正文"/>
          <w:rFonts w:ascii="宋体" w:hAnsi="宋体" w:cs="宋体" w:eastAsia="宋体"/>
          <w:b w:val="true"/>
        </w:rPr>
        <w:t>5.11.3 其他资产构成</w:t>
      </w:r>
    </w:p>
    <w:tbl>
      <w:tblPr>
        <w:tblW w:w="5000" w:type="pct"/>
        <w:tblBorders>
          <w:top w:val="single" w:sz="4"/>
          <w:left w:val="single" w:sz="4"/>
          <w:bottom w:val="single" w:sz="4"/>
          <w:right w:val="single" w:sz="4"/>
          <w:insideH w:val="single" w:sz="4"/>
          <w:insideV w:val="single" w:sz="4"/>
        </w:tblBorders>
      </w:tblPr>
      <w:tblGrid>
        <w:gridCol w:w="3021"/>
        <w:gridCol w:w="3021"/>
        <w:gridCol w:w="3021"/>
      </w:tblGrid>
      <w:tr>
        <w:tc>
          <w:tcPr>
            <w:tcW w:type="pct" w:w="615"/>
            <w:vAlign w:val="center"/>
          </w:tcPr>
          <w:tcPr>
            <w:shd w:fill="d9d9d9"/>
          </w:tcPr>
          <w:p>
            <w:pPr>
              <w:spacing w:line="240" w:lineRule="auto"/>
              <w:jc w:val="center"/>
            </w:pPr>
            <w:r>
              <w:rPr>
                <w:rFonts w:ascii="宋体" w:hAnsi="宋体" w:cs="宋体" w:eastAsia="宋体"/>
                <w:b w:val="false"/>
              </w:rPr>
              <w:t>序号</w:t>
            </w:r>
          </w:p>
        </w:tc>
        <w:tc>
          <w:tcPr>
            <w:tcW w:type="pct" w:w="2308"/>
            <w:vAlign w:val="center"/>
          </w:tcPr>
          <w:tcPr>
            <w:shd w:fill="d9d9d9"/>
          </w:tcPr>
          <w:p>
            <w:pPr>
              <w:spacing w:line="240" w:lineRule="auto"/>
              <w:jc w:val="center"/>
            </w:pPr>
            <w:r>
              <w:rPr>
                <w:rFonts w:ascii="宋体" w:hAnsi="宋体" w:cs="宋体" w:eastAsia="宋体"/>
                <w:b w:val="false"/>
              </w:rPr>
              <w:t>名称</w:t>
            </w:r>
          </w:p>
        </w:tc>
        <w:tc>
          <w:tcPr>
            <w:tcW w:type="pct" w:w="1538"/>
            <w:vAlign w:val="center"/>
          </w:tcPr>
          <w:tcPr>
            <w:shd w:fill="d9d9d9"/>
          </w:tcPr>
          <w:p>
            <w:pPr>
              <w:spacing w:line="240" w:lineRule="auto"/>
              <w:jc w:val="center"/>
            </w:pPr>
            <w:r>
              <w:rPr>
                <w:rFonts w:ascii="宋体" w:hAnsi="宋体" w:cs="宋体" w:eastAsia="宋体"/>
                <w:b w:val="false"/>
              </w:rPr>
              <w:t>金额(元)</w:t>
            </w:r>
          </w:p>
        </w:tc>
      </w:tr>
      <w:tr>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left"/>
            </w:pPr>
            <w:r>
              <w:rPr>
                <w:rFonts w:ascii="宋体" w:hAnsi="宋体" w:cs="宋体" w:eastAsia="宋体"/>
                <w:b w:val="false"/>
              </w:rPr>
              <w:t>存出保证金</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left"/>
            </w:pPr>
            <w:r>
              <w:rPr>
                <w:rFonts w:ascii="宋体" w:hAnsi="宋体" w:cs="宋体" w:eastAsia="宋体"/>
                <w:b w:val="false"/>
              </w:rPr>
              <w:t>应收证券清算款</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3</w:t>
            </w:r>
          </w:p>
        </w:tc>
        <w:tc>
          <w:tcPr>
            <w:tcW/>
            <w:vAlign w:val="center"/>
          </w:tcPr>
          <w:p>
            <w:pPr>
              <w:spacing w:line="240" w:lineRule="auto"/>
              <w:jc w:val="left"/>
            </w:pPr>
            <w:r>
              <w:rPr>
                <w:rFonts w:ascii="宋体" w:hAnsi="宋体" w:cs="宋体" w:eastAsia="宋体"/>
                <w:b w:val="false"/>
              </w:rPr>
              <w:t>应收股利</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4</w:t>
            </w:r>
          </w:p>
        </w:tc>
        <w:tc>
          <w:tcPr>
            <w:tcW/>
            <w:vAlign w:val="center"/>
          </w:tcPr>
          <w:p>
            <w:pPr>
              <w:spacing w:line="240" w:lineRule="auto"/>
              <w:jc w:val="left"/>
            </w:pPr>
            <w:r>
              <w:rPr>
                <w:rFonts w:ascii="宋体" w:hAnsi="宋体" w:cs="宋体" w:eastAsia="宋体"/>
                <w:b w:val="false"/>
              </w:rPr>
              <w:t>应收利息</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5</w:t>
            </w:r>
          </w:p>
        </w:tc>
        <w:tc>
          <w:tcPr>
            <w:tcW/>
            <w:vAlign w:val="center"/>
          </w:tcPr>
          <w:p>
            <w:pPr>
              <w:spacing w:line="240" w:lineRule="auto"/>
              <w:jc w:val="left"/>
            </w:pPr>
            <w:r>
              <w:rPr>
                <w:rFonts w:ascii="宋体" w:hAnsi="宋体" w:cs="宋体" w:eastAsia="宋体"/>
                <w:b w:val="false"/>
              </w:rPr>
              <w:t>应收申购款</w:t>
            </w:r>
          </w:p>
        </w:tc>
        <w:tc>
          <w:tcPr>
            <w:tcW/>
            <w:vAlign w:val="center"/>
          </w:tcPr>
          <w:p>
            <w:pPr>
              <w:spacing w:line="240" w:lineRule="auto"/>
              <w:jc w:val="right"/>
            </w:pPr>
            <w:r>
              <w:rPr>
                <w:rFonts w:ascii="宋体" w:hAnsi="宋体" w:cs="宋体" w:eastAsia="宋体"/>
                <w:b w:val="false"/>
              </w:rPr>
              <w:t>11,252,473.61</w:t>
            </w:r>
          </w:p>
        </w:tc>
      </w:tr>
      <w:tr>
        <w:tc>
          <w:tcPr>
            <w:tcW/>
            <w:vAlign w:val="center"/>
          </w:tcPr>
          <w:p>
            <w:pPr>
              <w:spacing w:line="240" w:lineRule="auto"/>
              <w:jc w:val="center"/>
            </w:pPr>
            <w:r>
              <w:rPr>
                <w:rFonts w:ascii="宋体" w:hAnsi="宋体" w:cs="宋体" w:eastAsia="宋体"/>
                <w:b w:val="false"/>
              </w:rPr>
              <w:t>6</w:t>
            </w:r>
          </w:p>
        </w:tc>
        <w:tc>
          <w:tcPr>
            <w:tcW/>
            <w:vAlign w:val="center"/>
          </w:tcPr>
          <w:p>
            <w:pPr>
              <w:spacing w:line="240" w:lineRule="auto"/>
              <w:jc w:val="left"/>
            </w:pPr>
            <w:r>
              <w:rPr>
                <w:rFonts w:ascii="宋体" w:hAnsi="宋体" w:cs="宋体" w:eastAsia="宋体"/>
                <w:b w:val="false"/>
              </w:rPr>
              <w:t>其他应收款</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7</w:t>
            </w:r>
          </w:p>
        </w:tc>
        <w:tc>
          <w:tcPr>
            <w:tcW/>
            <w:vAlign w:val="center"/>
          </w:tcPr>
          <w:p>
            <w:pPr>
              <w:spacing w:line="240" w:lineRule="auto"/>
              <w:jc w:val="left"/>
            </w:pPr>
            <w:r>
              <w:rPr>
                <w:rFonts w:ascii="宋体" w:hAnsi="宋体" w:cs="宋体" w:eastAsia="宋体"/>
                <w:b w:val="false"/>
              </w:rPr>
              <w:t>其他</w:t>
            </w:r>
          </w:p>
        </w:tc>
        <w:tc>
          <w:tcPr>
            <w:tcW/>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center"/>
            </w:pPr>
            <w:r>
              <w:rPr>
                <w:rFonts w:ascii="宋体" w:hAnsi="宋体" w:cs="宋体" w:eastAsia="宋体"/>
                <w:b w:val="false"/>
              </w:rPr>
              <w:t>8</w:t>
            </w:r>
          </w:p>
        </w:tc>
        <w:tc>
          <w:tcPr>
            <w:tcW/>
            <w:vAlign w:val="center"/>
          </w:tcPr>
          <w:p>
            <w:pPr>
              <w:spacing w:line="240" w:lineRule="auto"/>
              <w:jc w:val="left"/>
            </w:pPr>
            <w:r>
              <w:rPr>
                <w:rFonts w:ascii="宋体" w:hAnsi="宋体" w:cs="宋体" w:eastAsia="宋体"/>
                <w:b w:val="false"/>
              </w:rPr>
              <w:t>合计</w:t>
            </w:r>
          </w:p>
        </w:tc>
        <w:tc>
          <w:tcPr>
            <w:tcW/>
            <w:vAlign w:val="center"/>
          </w:tcPr>
          <w:p>
            <w:pPr>
              <w:spacing w:line="240" w:lineRule="auto"/>
              <w:jc w:val="right"/>
            </w:pPr>
            <w:r>
              <w:rPr>
                <w:rFonts w:ascii="宋体" w:hAnsi="宋体" w:cs="宋体" w:eastAsia="宋体"/>
                <w:b w:val="false"/>
              </w:rPr>
              <w:t>11,252,473.61</w:t>
            </w:r>
          </w:p>
        </w:tc>
      </w:tr>
    </w:tbl>
    <w:p/>
    <w:p>
      <w:r>
        <w:rPr>
          <w:rStyle w:val="正文"/>
          <w:rFonts w:ascii="宋体" w:hAnsi="宋体" w:cs="宋体" w:eastAsia="宋体"/>
          <w:b w:val="true"/>
        </w:rPr>
        <w:t>5.11.4 报告期末持有的处于转股期的可转换债券明细</w:t>
      </w:r>
    </w:p>
    <w:p>
      <w:r>
        <w:rPr>
          <w:rFonts w:ascii="宋体" w:hAnsi="宋体" w:cs="宋体" w:eastAsia="宋体"/>
          <w:b w:val="false"/>
        </w:rPr>
        <w:t xml:space="preserve">    本基金本报告期末未持有处于转股期的可转换债券。</w:t>
      </w:r>
    </w:p>
    <w:p/>
    <w:p>
      <w:r>
        <w:rPr>
          <w:rStyle w:val="正文"/>
          <w:rFonts w:ascii="宋体" w:hAnsi="宋体" w:cs="宋体" w:eastAsia="宋体"/>
          <w:b w:val="true"/>
        </w:rPr>
        <w:t>5.11.5 报告期末前十名股票中存在流通受限情况的说明</w:t>
      </w:r>
    </w:p>
    <w:p>
      <w:r>
        <w:rPr>
          <w:rFonts w:ascii="宋体" w:hAnsi="宋体" w:cs="宋体" w:eastAsia="宋体"/>
          <w:b w:val="false"/>
        </w:rPr>
        <w:t xml:space="preserve">    本基金本报告期末前十名股票中不存在流通受限情况。</w:t>
      </w:r>
    </w:p>
    <w:p/>
    <w:p>
      <w:r>
        <w:rPr>
          <w:rStyle w:val="正文"/>
          <w:rFonts w:ascii="宋体" w:hAnsi="宋体" w:cs="宋体" w:eastAsia="宋体"/>
          <w:b w:val="true"/>
        </w:rPr>
        <w:t>5.11.6 投资组合报告附注的其他文字描述部分</w:t>
      </w:r>
    </w:p>
    <w:p>
      <w:r>
        <w:rPr>
          <w:rFonts w:ascii="宋体" w:hAnsi="宋体" w:cs="宋体" w:eastAsia="宋体"/>
          <w:b w:val="false"/>
        </w:rPr>
        <w:t xml:space="preserve">    由于四舍五入原因，分项之和与合计项之间可能存在尾差。</w:t>
      </w:r>
    </w:p>
    <w:p>
      <w:pPr>
        <w:pStyle w:val="1"/>
        <w:jc w:val="center"/>
      </w:pPr>
      <w:r>
        <w:rPr>
          <w:rFonts w:ascii="宋体" w:hAnsi="宋体" w:cs="宋体" w:eastAsia="宋体"/>
        </w:rPr>
        <w:t>§6 开放式基金份额变动</w:t>
      </w:r>
    </w:p>
    <w:p>
      <w:pPr>
        <w:jc w:val="right"/>
      </w:pPr>
      <w:r>
        <w:rPr>
          <w:rFonts w:ascii="宋体" w:hAnsi="宋体" w:cs="宋体" w:eastAsia="宋体"/>
          <w:b w:val="false"/>
        </w:rPr>
        <w:t>单位：份</w:t>
      </w:r>
    </w:p>
    <w:tbl>
      <w:tblPr>
        <w:tblW w:w="5000" w:type="pct"/>
        <w:tblBorders>
          <w:top w:val="single" w:sz="4"/>
          <w:left w:val="single" w:sz="4"/>
          <w:bottom w:val="single" w:sz="4"/>
          <w:right w:val="single" w:sz="4"/>
          <w:insideH w:val="single" w:sz="4"/>
          <w:insideV w:val="single" w:sz="4"/>
        </w:tblBorders>
      </w:tblPr>
      <w:tblGrid>
        <w:gridCol w:w="2266"/>
        <w:gridCol w:w="2266"/>
        <w:gridCol w:w="2266"/>
        <w:gridCol w:w="2266"/>
      </w:tblGrid>
      <w:tr>
        <w:tc>
          <w:tcPr>
            <w:tcW w:type="pct" w:w="2308"/>
            <w:vAlign w:val="center"/>
          </w:tcPr>
          <w:p>
            <w:pPr>
              <w:spacing w:line="240" w:lineRule="auto"/>
              <w:jc w:val="center"/>
            </w:pPr>
          </w:p>
        </w:tc>
        <w:tc>
          <w:tcPr>
            <w:tcW w:type="pct" w:w="850"/>
            <w:vAlign w:val="center"/>
          </w:tcPr>
          <w:p>
            <w:pPr>
              <w:spacing w:line="240" w:lineRule="auto"/>
              <w:jc w:val="center"/>
            </w:pPr>
            <w:r>
              <w:rPr>
                <w:rFonts w:ascii="宋体" w:hAnsi="宋体" w:cs="宋体" w:eastAsia="宋体"/>
                <w:b w:val="false"/>
              </w:rPr>
              <w:t>东方阿尔法招阳混合A</w:t>
            </w:r>
          </w:p>
        </w:tc>
        <w:tc>
          <w:tcPr>
            <w:tcW w:type="pct" w:w="850"/>
            <w:vAlign w:val="center"/>
          </w:tcPr>
          <w:p>
            <w:pPr>
              <w:spacing w:line="240" w:lineRule="auto"/>
              <w:jc w:val="center"/>
            </w:pPr>
            <w:r>
              <w:rPr>
                <w:rFonts w:ascii="宋体" w:hAnsi="宋体" w:cs="宋体" w:eastAsia="宋体"/>
                <w:b w:val="false"/>
              </w:rPr>
              <w:t>东方阿尔法招阳混合C</w:t>
            </w:r>
          </w:p>
        </w:tc>
        <w:tc>
          <w:tcPr>
            <w:tcW w:type="pct" w:w="850"/>
            <w:vAlign w:val="center"/>
          </w:tcPr>
          <w:p>
            <w:pPr>
              <w:spacing w:line="240" w:lineRule="auto"/>
              <w:jc w:val="center"/>
            </w:pPr>
            <w:r>
              <w:rPr>
                <w:rFonts w:ascii="宋体" w:hAnsi="宋体" w:cs="宋体" w:eastAsia="宋体"/>
                <w:b w:val="false"/>
              </w:rPr>
              <w:t>东方阿尔法招阳混合E</w:t>
            </w:r>
          </w:p>
        </w:tc>
      </w:tr>
      <w:tr>
        <w:tc>
          <w:tcPr>
            <w:tcW/>
            <w:vAlign w:val="center"/>
          </w:tcPr>
          <w:p>
            <w:pPr>
              <w:spacing w:line="240" w:lineRule="auto"/>
              <w:jc w:val="left"/>
            </w:pPr>
            <w:r>
              <w:rPr>
                <w:rFonts w:ascii="宋体" w:hAnsi="宋体" w:cs="宋体" w:eastAsia="宋体"/>
                <w:b w:val="false"/>
              </w:rPr>
              <w:t>报告期期初基金份额总额</w:t>
            </w:r>
          </w:p>
        </w:tc>
        <w:tc>
          <w:tcPr>
            <w:tcW w:type="pct" w:w="850"/>
            <w:vAlign w:val="center"/>
          </w:tcPr>
          <w:p>
            <w:pPr>
              <w:spacing w:line="240" w:lineRule="auto"/>
              <w:jc w:val="right"/>
            </w:pPr>
            <w:r>
              <w:rPr>
                <w:rFonts w:ascii="宋体" w:hAnsi="宋体" w:cs="宋体" w:eastAsia="宋体"/>
                <w:b w:val="false"/>
              </w:rPr>
              <w:t>634,822,128.51</w:t>
            </w:r>
          </w:p>
        </w:tc>
        <w:tc>
          <w:tcPr>
            <w:tcW w:type="pct" w:w="850"/>
            <w:vAlign w:val="center"/>
          </w:tcPr>
          <w:p>
            <w:pPr>
              <w:spacing w:line="240" w:lineRule="auto"/>
              <w:jc w:val="right"/>
            </w:pPr>
            <w:r>
              <w:rPr>
                <w:rFonts w:ascii="宋体" w:hAnsi="宋体" w:cs="宋体" w:eastAsia="宋体"/>
                <w:b w:val="false"/>
              </w:rPr>
              <w:t>8,837,452.66</w:t>
            </w:r>
          </w:p>
        </w:tc>
        <w:tc>
          <w:tcPr>
            <w:tcW w:type="pct" w:w="850"/>
            <w:vAlign w:val="center"/>
          </w:tcPr>
          <w:p>
            <w:pPr>
              <w:spacing w:line="240" w:lineRule="auto"/>
              <w:jc w:val="right"/>
            </w:pPr>
            <w:r>
              <w:rPr>
                <w:rFonts w:ascii="宋体" w:hAnsi="宋体" w:cs="宋体" w:eastAsia="宋体"/>
                <w:b w:val="false"/>
              </w:rPr>
              <w:t>3,592,077.08</w:t>
            </w:r>
          </w:p>
        </w:tc>
      </w:tr>
      <w:tr>
        <w:tc>
          <w:tcPr>
            <w:tcW/>
            <w:vAlign w:val="center"/>
          </w:tcPr>
          <w:p>
            <w:pPr>
              <w:spacing w:line="240" w:lineRule="auto"/>
              <w:jc w:val="left"/>
            </w:pPr>
            <w:r>
              <w:rPr>
                <w:rFonts w:ascii="宋体" w:hAnsi="宋体" w:cs="宋体" w:eastAsia="宋体"/>
                <w:b w:val="false"/>
              </w:rPr>
              <w:t>报告期期间基金总申购份额</w:t>
            </w:r>
          </w:p>
        </w:tc>
        <w:tc>
          <w:tcPr>
            <w:tcW w:type="pct" w:w="850"/>
            <w:vAlign w:val="center"/>
          </w:tcPr>
          <w:p>
            <w:pPr>
              <w:spacing w:line="240" w:lineRule="auto"/>
              <w:jc w:val="right"/>
            </w:pPr>
            <w:r>
              <w:rPr>
                <w:rFonts w:ascii="宋体" w:hAnsi="宋体" w:cs="宋体" w:eastAsia="宋体"/>
                <w:b w:val="false"/>
              </w:rPr>
              <w:t>28,366,296.62</w:t>
            </w:r>
          </w:p>
        </w:tc>
        <w:tc>
          <w:tcPr>
            <w:tcW w:type="pct" w:w="850"/>
            <w:vAlign w:val="center"/>
          </w:tcPr>
          <w:p>
            <w:pPr>
              <w:spacing w:line="240" w:lineRule="auto"/>
              <w:jc w:val="right"/>
            </w:pPr>
            <w:r>
              <w:rPr>
                <w:rFonts w:ascii="宋体" w:hAnsi="宋体" w:cs="宋体" w:eastAsia="宋体"/>
                <w:b w:val="false"/>
              </w:rPr>
              <w:t>2,416,521.14</w:t>
            </w:r>
          </w:p>
        </w:tc>
        <w:tc>
          <w:tcPr>
            <w:tcW w:type="pct" w:w="850"/>
            <w:vAlign w:val="center"/>
          </w:tcPr>
          <w:p>
            <w:pPr>
              <w:spacing w:line="240" w:lineRule="auto"/>
              <w:jc w:val="right"/>
            </w:pPr>
            <w:r>
              <w:rPr>
                <w:rFonts w:ascii="宋体" w:hAnsi="宋体" w:cs="宋体" w:eastAsia="宋体"/>
                <w:b w:val="false"/>
              </w:rPr>
              <w:t>215,396,218.08</w:t>
            </w:r>
          </w:p>
        </w:tc>
      </w:tr>
      <w:tr>
        <w:tc>
          <w:tcPr>
            <w:tcW/>
            <w:vAlign w:val="center"/>
          </w:tcPr>
          <w:p>
            <w:pPr>
              <w:spacing w:line="240" w:lineRule="auto"/>
              <w:jc w:val="left"/>
            </w:pPr>
            <w:r>
              <w:rPr>
                <w:rFonts w:ascii="宋体" w:hAnsi="宋体" w:cs="宋体" w:eastAsia="宋体"/>
                <w:b w:val="false"/>
              </w:rPr>
              <w:t>减：报告期期间基金总赎回份额</w:t>
            </w:r>
          </w:p>
        </w:tc>
        <w:tc>
          <w:tcPr>
            <w:tcW w:type="pct" w:w="850"/>
            <w:vAlign w:val="center"/>
          </w:tcPr>
          <w:p>
            <w:pPr>
              <w:spacing w:line="240" w:lineRule="auto"/>
              <w:jc w:val="right"/>
            </w:pPr>
            <w:r>
              <w:rPr>
                <w:rFonts w:ascii="宋体" w:hAnsi="宋体" w:cs="宋体" w:eastAsia="宋体"/>
                <w:b w:val="false"/>
              </w:rPr>
              <w:t>78,230,608.44</w:t>
            </w:r>
          </w:p>
        </w:tc>
        <w:tc>
          <w:tcPr>
            <w:tcW w:type="pct" w:w="850"/>
            <w:vAlign w:val="center"/>
          </w:tcPr>
          <w:p>
            <w:pPr>
              <w:spacing w:line="240" w:lineRule="auto"/>
              <w:jc w:val="right"/>
            </w:pPr>
            <w:r>
              <w:rPr>
                <w:rFonts w:ascii="宋体" w:hAnsi="宋体" w:cs="宋体" w:eastAsia="宋体"/>
                <w:b w:val="false"/>
              </w:rPr>
              <w:t>2,716,363.13</w:t>
            </w:r>
          </w:p>
        </w:tc>
        <w:tc>
          <w:tcPr>
            <w:tcW w:type="pct" w:w="850"/>
            <w:vAlign w:val="center"/>
          </w:tcPr>
          <w:p>
            <w:pPr>
              <w:spacing w:line="240" w:lineRule="auto"/>
              <w:jc w:val="right"/>
            </w:pPr>
            <w:r>
              <w:rPr>
                <w:rFonts w:ascii="宋体" w:hAnsi="宋体" w:cs="宋体" w:eastAsia="宋体"/>
                <w:b w:val="false"/>
              </w:rPr>
              <w:t>41,293,554.84</w:t>
            </w:r>
          </w:p>
        </w:tc>
      </w:tr>
      <w:tr>
        <w:tc>
          <w:tcPr>
            <w:tcW/>
            <w:vAlign w:val="center"/>
          </w:tcPr>
          <w:p>
            <w:pPr>
              <w:spacing w:line="240" w:lineRule="auto"/>
              <w:jc w:val="left"/>
            </w:pPr>
            <w:r>
              <w:rPr>
                <w:rFonts w:ascii="宋体" w:hAnsi="宋体" w:cs="宋体" w:eastAsia="宋体"/>
                <w:b w:val="false"/>
              </w:rPr>
              <w:t>报告期期间基金拆分变动份额（份额减少以“-”填列）</w:t>
            </w:r>
          </w:p>
        </w:tc>
        <w:tc>
          <w:tcPr>
            <w:tcW w:type="pct" w:w="850"/>
            <w:vAlign w:val="center"/>
          </w:tcPr>
          <w:p>
            <w:pPr>
              <w:spacing w:line="240" w:lineRule="auto"/>
              <w:jc w:val="right"/>
            </w:pPr>
            <w:r>
              <w:rPr>
                <w:rFonts w:ascii="宋体" w:hAnsi="宋体" w:cs="宋体" w:eastAsia="宋体"/>
                <w:b w:val="false"/>
              </w:rPr>
              <w:t>-</w:t>
            </w:r>
          </w:p>
        </w:tc>
        <w:tc>
          <w:tcPr>
            <w:tcW w:type="pct" w:w="850"/>
            <w:vAlign w:val="center"/>
          </w:tcPr>
          <w:p>
            <w:pPr>
              <w:spacing w:line="240" w:lineRule="auto"/>
              <w:jc w:val="right"/>
            </w:pPr>
            <w:r>
              <w:rPr>
                <w:rFonts w:ascii="宋体" w:hAnsi="宋体" w:cs="宋体" w:eastAsia="宋体"/>
                <w:b w:val="false"/>
              </w:rPr>
              <w:t>-</w:t>
            </w:r>
          </w:p>
        </w:tc>
        <w:tc>
          <w:tcPr>
            <w:tcW w:type="pct" w:w="850"/>
            <w:vAlign w:val="center"/>
          </w:tcPr>
          <w:p>
            <w:pPr>
              <w:spacing w:line="240" w:lineRule="auto"/>
              <w:jc w:val="right"/>
            </w:pPr>
            <w:r>
              <w:rPr>
                <w:rFonts w:ascii="宋体" w:hAnsi="宋体" w:cs="宋体" w:eastAsia="宋体"/>
                <w:b w:val="false"/>
              </w:rPr>
              <w:t>-</w:t>
            </w:r>
          </w:p>
        </w:tc>
      </w:tr>
      <w:tr>
        <w:tc>
          <w:tcPr>
            <w:tcW/>
            <w:vAlign w:val="center"/>
          </w:tcPr>
          <w:p>
            <w:pPr>
              <w:spacing w:line="240" w:lineRule="auto"/>
              <w:jc w:val="left"/>
            </w:pPr>
            <w:r>
              <w:rPr>
                <w:rFonts w:ascii="宋体" w:hAnsi="宋体" w:cs="宋体" w:eastAsia="宋体"/>
                <w:b w:val="false"/>
              </w:rPr>
              <w:t>报告期期末基金份额总额</w:t>
            </w:r>
          </w:p>
        </w:tc>
        <w:tc>
          <w:tcPr>
            <w:tcW w:type="pct" w:w="850"/>
            <w:vAlign w:val="center"/>
          </w:tcPr>
          <w:p>
            <w:pPr>
              <w:spacing w:line="240" w:lineRule="auto"/>
              <w:jc w:val="right"/>
            </w:pPr>
            <w:r>
              <w:rPr>
                <w:rFonts w:ascii="宋体" w:hAnsi="宋体" w:cs="宋体" w:eastAsia="宋体"/>
                <w:b w:val="false"/>
              </w:rPr>
              <w:t>584,957,816.69</w:t>
            </w:r>
          </w:p>
        </w:tc>
        <w:tc>
          <w:tcPr>
            <w:tcW w:type="pct" w:w="850"/>
            <w:vAlign w:val="center"/>
          </w:tcPr>
          <w:p>
            <w:pPr>
              <w:spacing w:line="240" w:lineRule="auto"/>
              <w:jc w:val="right"/>
            </w:pPr>
            <w:r>
              <w:rPr>
                <w:rFonts w:ascii="宋体" w:hAnsi="宋体" w:cs="宋体" w:eastAsia="宋体"/>
                <w:b w:val="false"/>
              </w:rPr>
              <w:t>8,537,610.67</w:t>
            </w:r>
          </w:p>
        </w:tc>
        <w:tc>
          <w:tcPr>
            <w:tcW w:type="pct" w:w="850"/>
            <w:vAlign w:val="center"/>
          </w:tcPr>
          <w:p>
            <w:pPr>
              <w:spacing w:line="240" w:lineRule="auto"/>
              <w:jc w:val="right"/>
            </w:pPr>
            <w:r>
              <w:rPr>
                <w:rFonts w:ascii="宋体" w:hAnsi="宋体" w:cs="宋体" w:eastAsia="宋体"/>
                <w:b w:val="false"/>
              </w:rPr>
              <w:t>177,694,740.32</w:t>
            </w:r>
          </w:p>
        </w:tc>
      </w:tr>
    </w:tbl>
    <w:p>
      <w:pPr>
        <w:pStyle w:val="1"/>
        <w:jc w:val="center"/>
      </w:pPr>
      <w:r>
        <w:rPr>
          <w:rFonts w:ascii="宋体" w:hAnsi="宋体" w:cs="宋体" w:eastAsia="宋体"/>
        </w:rPr>
        <w:t>§7 基金管理人运用固有资金投资本基金情况</w:t>
      </w:r>
    </w:p>
    <w:p>
      <w:pPr>
        <w:pStyle w:val="2"/>
        <w:jc w:val="left"/>
      </w:pPr>
      <w:r>
        <w:rPr>
          <w:rFonts w:ascii="宋体" w:hAnsi="宋体" w:cs="宋体" w:eastAsia="宋体"/>
        </w:rPr>
        <w:t>7.1 基金管理人持有本基金份额变动情况</w:t>
      </w:r>
    </w:p>
    <w:p>
      <w:r>
        <w:rPr>
          <w:rFonts w:ascii="宋体" w:hAnsi="宋体" w:cs="宋体" w:eastAsia="宋体"/>
          <w:b w:val="false"/>
        </w:rPr>
        <w:t xml:space="preserve">    截至本报告期末，本基金管理人未持有本基金份额。</w:t>
      </w:r>
    </w:p>
    <w:p/>
    <w:p>
      <w:pPr>
        <w:pStyle w:val="2"/>
        <w:jc w:val="left"/>
      </w:pPr>
      <w:r>
        <w:rPr>
          <w:rFonts w:ascii="宋体" w:hAnsi="宋体" w:cs="宋体" w:eastAsia="宋体"/>
        </w:rPr>
        <w:t>7.2 基金管理人运用固有资金投资本基金交易明细</w:t>
      </w:r>
    </w:p>
    <w:p>
      <w:r>
        <w:rPr>
          <w:rFonts w:ascii="宋体" w:hAnsi="宋体" w:cs="宋体" w:eastAsia="宋体"/>
          <w:b w:val="false"/>
        </w:rPr>
        <w:t xml:space="preserve">    本报告期内，本基金管理人未运用固有资金投资本基金。</w:t>
      </w:r>
    </w:p>
    <w:p>
      <w:pPr>
        <w:pStyle w:val="1"/>
        <w:jc w:val="center"/>
      </w:pPr>
      <w:r>
        <w:rPr>
          <w:rFonts w:ascii="宋体" w:hAnsi="宋体" w:cs="宋体" w:eastAsia="宋体"/>
        </w:rPr>
        <w:t>§8 影响投资者决策的其他重要信息</w:t>
      </w:r>
    </w:p>
    <w:p>
      <w:pPr>
        <w:pStyle w:val="2"/>
        <w:jc w:val="left"/>
      </w:pPr>
      <w:r>
        <w:rPr>
          <w:rFonts w:ascii="宋体" w:hAnsi="宋体" w:cs="宋体" w:eastAsia="宋体"/>
        </w:rPr>
        <w:t>8.1 报告期内单一投资者持有基金份额比例达到或超过20%的情况</w:t>
      </w:r>
    </w:p>
    <w:tbl>
      <w:tblPr>
        <w:tblW w:w="5000" w:type="pct"/>
        <w:tblBorders>
          <w:top w:val="single" w:sz="4"/>
          <w:left w:val="single" w:sz="4"/>
          <w:bottom w:val="single" w:sz="4"/>
          <w:right w:val="single" w:sz="4"/>
          <w:insideH w:val="single" w:sz="4"/>
          <w:insideV w:val="single" w:sz="4"/>
        </w:tblBorders>
      </w:tblPr>
      <w:tblGrid>
        <w:gridCol w:w="1133"/>
        <w:gridCol w:w="1133"/>
        <w:gridCol w:w="1133"/>
        <w:gridCol w:w="1133"/>
        <w:gridCol w:w="1133"/>
        <w:gridCol w:w="1133"/>
        <w:gridCol w:w="1133"/>
        <w:gridCol w:w="1133"/>
      </w:tblGrid>
      <w:tr>
        <w:tc>
          <w:tcPr>
            <w:tcW w:type="pct" w:w="269"/>
            <w:vMerge w:val="restart"/>
            <w:vAlign w:val="center"/>
          </w:tcPr>
          <w:tcPr>
            <w:shd w:fill="d9d9d9"/>
          </w:tcPr>
          <w:p>
            <w:pPr>
              <w:spacing w:line="240" w:lineRule="auto"/>
              <w:jc w:val="center"/>
            </w:pPr>
            <w:r>
              <w:rPr>
                <w:rFonts w:ascii="宋体" w:hAnsi="宋体" w:cs="宋体" w:eastAsia="宋体"/>
                <w:b w:val="false"/>
              </w:rPr>
              <w:t>投资者类别</w:t>
            </w:r>
          </w:p>
        </w:tc>
        <w:tc>
          <w:tcPr>
            <w:tcW w:type="pct" w:w="3192"/>
            <w:hMerge w:val="restart"/>
            <w:vAlign w:val="center"/>
          </w:tcPr>
          <w:tcPr>
            <w:shd w:fill="d9d9d9"/>
          </w:tcPr>
          <w:p>
            <w:pPr>
              <w:spacing w:line="240" w:lineRule="auto"/>
              <w:jc w:val="center"/>
            </w:pPr>
            <w:r>
              <w:rPr>
                <w:rFonts w:ascii="宋体" w:hAnsi="宋体" w:cs="宋体" w:eastAsia="宋体"/>
                <w:b w:val="false"/>
              </w:rPr>
              <w:t>报告期内持有基金份额变化情况</w:t>
            </w:r>
          </w:p>
        </w:tc>
        <w:tc>
          <w:tcPr>
            <w:hMerge w:val="continue"/>
          </w:tcPr>
          <w:p/>
        </w:tc>
        <w:tc>
          <w:tcPr>
            <w:hMerge w:val="continue"/>
          </w:tcPr>
          <w:p/>
        </w:tc>
        <w:tc>
          <w:tcPr>
            <w:hMerge w:val="continue"/>
          </w:tcPr>
          <w:p/>
        </w:tc>
        <w:tc>
          <w:tcPr>
            <w:hMerge w:val="continue"/>
          </w:tcPr>
          <w:p/>
        </w:tc>
        <w:tc>
          <w:tcPr>
            <w:tcW w:type="pct" w:w="1154"/>
            <w:hMerge w:val="restart"/>
            <w:vAlign w:val="center"/>
          </w:tcPr>
          <w:tcPr>
            <w:shd w:fill="d9d9d9"/>
          </w:tcPr>
          <w:p>
            <w:pPr>
              <w:spacing w:line="240" w:lineRule="auto"/>
              <w:jc w:val="center"/>
            </w:pPr>
            <w:r>
              <w:rPr>
                <w:rFonts w:ascii="宋体" w:hAnsi="宋体" w:cs="宋体" w:eastAsia="宋体"/>
                <w:b w:val="false"/>
              </w:rPr>
              <w:t>报告期末持有基金情况</w:t>
            </w:r>
          </w:p>
        </w:tc>
        <w:tc>
          <w:tcPr>
            <w:hMerge w:val="continue"/>
          </w:tcPr>
          <w:p/>
        </w:tc>
      </w:tr>
      <w:tr>
        <w:tc>
          <w:tcPr>
            <w:vMerge w:val="continue"/>
          </w:tcPr>
          <w:p/>
        </w:tc>
        <w:tc>
          <w:tcPr>
            <w:tcW w:type="pct" w:w="269"/>
            <w:vAlign w:val="center"/>
          </w:tcPr>
          <w:tcPr>
            <w:shd w:fill="d9d9d9"/>
          </w:tcPr>
          <w:p>
            <w:pPr>
              <w:spacing w:line="240" w:lineRule="auto"/>
              <w:jc w:val="center"/>
            </w:pPr>
            <w:r>
              <w:rPr>
                <w:rFonts w:ascii="宋体" w:hAnsi="宋体" w:cs="宋体" w:eastAsia="宋体"/>
                <w:b w:val="false"/>
              </w:rPr>
              <w:t>序号</w:t>
            </w:r>
          </w:p>
        </w:tc>
        <w:tc>
          <w:tcPr>
            <w:tcW w:type="pct" w:w="1346"/>
            <w:vAlign w:val="center"/>
          </w:tcPr>
          <w:tcPr>
            <w:shd w:fill="d9d9d9"/>
          </w:tcPr>
          <w:p>
            <w:pPr>
              <w:spacing w:line="240" w:lineRule="auto"/>
              <w:jc w:val="center"/>
            </w:pPr>
            <w:r>
              <w:rPr>
                <w:rFonts w:ascii="宋体" w:hAnsi="宋体" w:cs="宋体" w:eastAsia="宋体"/>
                <w:b w:val="false"/>
              </w:rPr>
              <w:t>持有基金份额比例达到或者超过20%的时间区间</w:t>
            </w:r>
          </w:p>
        </w:tc>
        <w:tc>
          <w:tcPr>
            <w:tcW w:type="pct" w:w="615"/>
            <w:vAlign w:val="center"/>
          </w:tcPr>
          <w:tcPr>
            <w:shd w:fill="d9d9d9"/>
          </w:tcPr>
          <w:p>
            <w:pPr>
              <w:spacing w:line="240" w:lineRule="auto"/>
              <w:jc w:val="center"/>
            </w:pPr>
            <w:r>
              <w:rPr>
                <w:rFonts w:ascii="宋体" w:hAnsi="宋体" w:cs="宋体" w:eastAsia="宋体"/>
                <w:b w:val="false"/>
              </w:rPr>
              <w:t>期初份额</w:t>
            </w:r>
          </w:p>
        </w:tc>
        <w:tc>
          <w:tcPr>
            <w:tcW w:type="pct" w:w="615"/>
            <w:vAlign w:val="center"/>
          </w:tcPr>
          <w:tcPr>
            <w:shd w:fill="d9d9d9"/>
          </w:tcPr>
          <w:p>
            <w:pPr>
              <w:spacing w:line="240" w:lineRule="auto"/>
              <w:jc w:val="center"/>
            </w:pPr>
            <w:r>
              <w:rPr>
                <w:rFonts w:ascii="宋体" w:hAnsi="宋体" w:cs="宋体" w:eastAsia="宋体"/>
                <w:b w:val="false"/>
              </w:rPr>
              <w:t>申购份额</w:t>
            </w:r>
          </w:p>
        </w:tc>
        <w:tc>
          <w:tcPr>
            <w:tcW w:type="pct" w:w="615"/>
            <w:vAlign w:val="center"/>
          </w:tcPr>
          <w:tcPr>
            <w:shd w:fill="d9d9d9"/>
          </w:tcPr>
          <w:p>
            <w:pPr>
              <w:spacing w:line="240" w:lineRule="auto"/>
              <w:jc w:val="center"/>
            </w:pPr>
            <w:r>
              <w:rPr>
                <w:rFonts w:ascii="宋体" w:hAnsi="宋体" w:cs="宋体" w:eastAsia="宋体"/>
                <w:b w:val="false"/>
              </w:rPr>
              <w:t>赎回份额</w:t>
            </w:r>
          </w:p>
        </w:tc>
        <w:tc>
          <w:tcPr>
            <w:tcW w:type="pct" w:w="615"/>
            <w:vAlign w:val="center"/>
          </w:tcPr>
          <w:tcPr>
            <w:shd w:fill="d9d9d9"/>
          </w:tcPr>
          <w:p>
            <w:pPr>
              <w:spacing w:line="240" w:lineRule="auto"/>
              <w:jc w:val="center"/>
            </w:pPr>
            <w:r>
              <w:rPr>
                <w:rFonts w:ascii="宋体" w:hAnsi="宋体" w:cs="宋体" w:eastAsia="宋体"/>
                <w:b w:val="false"/>
              </w:rPr>
              <w:t>持有份额</w:t>
            </w:r>
          </w:p>
        </w:tc>
        <w:tc>
          <w:tcPr>
            <w:tcW w:type="pct" w:w="538"/>
            <w:vAlign w:val="center"/>
          </w:tcPr>
          <w:tcPr>
            <w:shd w:fill="d9d9d9"/>
          </w:tcPr>
          <w:p>
            <w:pPr>
              <w:spacing w:line="240" w:lineRule="auto"/>
              <w:jc w:val="center"/>
            </w:pPr>
            <w:r>
              <w:rPr>
                <w:rFonts w:ascii="宋体" w:hAnsi="宋体" w:cs="宋体" w:eastAsia="宋体"/>
                <w:b w:val="false"/>
              </w:rPr>
              <w:t>份额占比</w:t>
            </w:r>
          </w:p>
        </w:tc>
      </w:tr>
      <w:tr>
        <w:tc>
          <w:tcPr>
            <w:tcW/>
            <w:vMerge w:val="restart"/>
            <w:vAlign w:val="center"/>
          </w:tcPr>
          <w:p>
            <w:pPr>
              <w:spacing w:line="240" w:lineRule="auto"/>
              <w:jc w:val="center"/>
            </w:pPr>
            <w:r>
              <w:rPr>
                <w:rFonts w:ascii="宋体" w:hAnsi="宋体" w:cs="宋体" w:eastAsia="宋体"/>
                <w:b w:val="false"/>
              </w:rPr>
              <w:t>个人</w:t>
            </w:r>
          </w:p>
        </w:tc>
        <w:tc>
          <w:tcPr>
            <w:tcW/>
            <w:vAlign w:val="center"/>
          </w:tcPr>
          <w:p>
            <w:pPr>
              <w:spacing w:line="240" w:lineRule="auto"/>
              <w:jc w:val="center"/>
            </w:pPr>
            <w:r>
              <w:rPr>
                <w:rFonts w:ascii="宋体" w:hAnsi="宋体" w:cs="宋体" w:eastAsia="宋体"/>
                <w:b w:val="false"/>
              </w:rPr>
              <w:t>1</w:t>
            </w:r>
          </w:p>
        </w:tc>
        <w:tc>
          <w:tcPr>
            <w:tcW/>
            <w:vAlign w:val="center"/>
          </w:tcPr>
          <w:p>
            <w:pPr>
              <w:spacing w:line="240" w:lineRule="auto"/>
              <w:jc w:val="center"/>
            </w:pPr>
            <w:r>
              <w:rPr>
                <w:rFonts w:ascii="宋体" w:hAnsi="宋体" w:cs="宋体" w:eastAsia="宋体"/>
                <w:b w:val="false"/>
              </w:rPr>
              <w:t>2025年07月01日-2025年09月30日</w:t>
            </w:r>
          </w:p>
        </w:tc>
        <w:tc>
          <w:tcPr>
            <w:tcW/>
            <w:vAlign w:val="center"/>
          </w:tcPr>
          <w:p>
            <w:pPr>
              <w:spacing w:line="240" w:lineRule="auto"/>
              <w:jc w:val="right"/>
            </w:pPr>
            <w:r>
              <w:rPr>
                <w:rFonts w:ascii="宋体" w:hAnsi="宋体" w:cs="宋体" w:eastAsia="宋体"/>
                <w:b w:val="false"/>
              </w:rPr>
              <w:t>200,020,500.00</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200,020,500.00</w:t>
            </w:r>
          </w:p>
        </w:tc>
        <w:tc>
          <w:tcPr>
            <w:tcW/>
            <w:vAlign w:val="center"/>
          </w:tcPr>
          <w:p>
            <w:pPr>
              <w:spacing w:line="240" w:lineRule="auto"/>
              <w:jc w:val="right"/>
            </w:pPr>
            <w:r>
              <w:rPr>
                <w:rFonts w:ascii="宋体" w:hAnsi="宋体" w:cs="宋体" w:eastAsia="宋体"/>
                <w:b w:val="false"/>
              </w:rPr>
              <w:t>25.94%</w:t>
            </w:r>
          </w:p>
        </w:tc>
      </w:tr>
      <w:tr>
        <w:tc>
          <w:tcPr>
            <w:vMerge w:val="continue"/>
          </w:tcPr>
          <w:p/>
        </w:tc>
        <w:tc>
          <w:tcPr>
            <w:tcW/>
            <w:vAlign w:val="center"/>
          </w:tcPr>
          <w:p>
            <w:pPr>
              <w:spacing w:line="240" w:lineRule="auto"/>
              <w:jc w:val="center"/>
            </w:pPr>
            <w:r>
              <w:rPr>
                <w:rFonts w:ascii="宋体" w:hAnsi="宋体" w:cs="宋体" w:eastAsia="宋体"/>
                <w:b w:val="false"/>
              </w:rPr>
              <w:t>2</w:t>
            </w:r>
          </w:p>
        </w:tc>
        <w:tc>
          <w:tcPr>
            <w:tcW/>
            <w:vAlign w:val="center"/>
          </w:tcPr>
          <w:p>
            <w:pPr>
              <w:spacing w:line="240" w:lineRule="auto"/>
              <w:jc w:val="center"/>
            </w:pPr>
            <w:r>
              <w:rPr>
                <w:rFonts w:ascii="宋体" w:hAnsi="宋体" w:cs="宋体" w:eastAsia="宋体"/>
                <w:b w:val="false"/>
              </w:rPr>
              <w:t>2025年07月01日-2025年09月30日</w:t>
            </w:r>
          </w:p>
        </w:tc>
        <w:tc>
          <w:tcPr>
            <w:tcW/>
            <w:vAlign w:val="center"/>
          </w:tcPr>
          <w:p>
            <w:pPr>
              <w:spacing w:line="240" w:lineRule="auto"/>
              <w:jc w:val="right"/>
            </w:pPr>
            <w:r>
              <w:rPr>
                <w:rFonts w:ascii="宋体" w:hAnsi="宋体" w:cs="宋体" w:eastAsia="宋体"/>
                <w:b w:val="false"/>
              </w:rPr>
              <w:t>200,038,500.00</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w:t>
            </w:r>
          </w:p>
        </w:tc>
        <w:tc>
          <w:tcPr>
            <w:tcW/>
            <w:vAlign w:val="center"/>
          </w:tcPr>
          <w:p>
            <w:pPr>
              <w:spacing w:line="240" w:lineRule="auto"/>
              <w:jc w:val="right"/>
            </w:pPr>
            <w:r>
              <w:rPr>
                <w:rFonts w:ascii="宋体" w:hAnsi="宋体" w:cs="宋体" w:eastAsia="宋体"/>
                <w:b w:val="false"/>
              </w:rPr>
              <w:t>200,038,500.00</w:t>
            </w:r>
          </w:p>
        </w:tc>
        <w:tc>
          <w:tcPr>
            <w:tcW/>
            <w:vAlign w:val="center"/>
          </w:tcPr>
          <w:p>
            <w:pPr>
              <w:spacing w:line="240" w:lineRule="auto"/>
              <w:jc w:val="right"/>
            </w:pPr>
            <w:r>
              <w:rPr>
                <w:rFonts w:ascii="宋体" w:hAnsi="宋体" w:cs="宋体" w:eastAsia="宋体"/>
                <w:b w:val="false"/>
              </w:rPr>
              <w:t>25.94%</w:t>
            </w:r>
          </w:p>
        </w:tc>
      </w:tr>
      <w:tr>
        <w:tc>
          <w:tcPr>
            <w:tcW/>
            <w:hMerge w:val="restart"/>
            <w:vAlign w:val="center"/>
          </w:tcPr>
          <w:p>
            <w:pPr>
              <w:spacing w:line="240" w:lineRule="auto"/>
              <w:jc w:val="center"/>
            </w:pPr>
            <w:r>
              <w:rPr>
                <w:rFonts w:ascii="宋体" w:hAnsi="宋体" w:cs="宋体" w:eastAsia="宋体"/>
                <w:b w:val="false"/>
              </w:rPr>
              <w:t>产品特有风险</w:t>
            </w:r>
          </w:p>
        </w:tc>
        <w:tc>
          <w:tcPr>
            <w:hMerge w:val="continue"/>
          </w:tcPr>
          <w:p/>
        </w:tc>
        <w:tc>
          <w:tcPr>
            <w:hMerge w:val="continue"/>
          </w:tcPr>
          <w:p/>
        </w:tc>
        <w:tc>
          <w:tcPr>
            <w:hMerge w:val="continue"/>
          </w:tcPr>
          <w:p/>
        </w:tc>
        <w:tc>
          <w:tcPr>
            <w:hMerge w:val="continue"/>
          </w:tcPr>
          <w:p/>
        </w:tc>
        <w:tc>
          <w:tcPr>
            <w:hMerge w:val="continue"/>
          </w:tcPr>
          <w:p/>
        </w:tc>
        <w:tc>
          <w:tcPr>
            <w:hMerge w:val="continue"/>
          </w:tcPr>
          <w:p/>
        </w:tc>
        <w:tc>
          <w:tcPr>
            <w:hMerge w:val="continue"/>
          </w:tcPr>
          <w:p/>
        </w:tc>
      </w:tr>
      <w:tr>
        <w:tc>
          <w:tcPr>
            <w:tcW/>
            <w:hMerge w:val="restart"/>
            <w:vAlign w:val="center"/>
          </w:tcPr>
          <w:p>
            <w:pPr>
              <w:spacing w:line="240" w:lineRule="auto"/>
              <w:jc w:val="left"/>
            </w:pPr>
            <w:r>
              <w:rPr>
                <w:rFonts w:ascii="宋体" w:hAnsi="宋体" w:cs="宋体" w:eastAsia="宋体"/>
                <w:b w:val="false"/>
              </w:rPr>
              <w:t xml:space="preserve">    基金管理人秉承谨慎勤勉、独立决策、规范运作、充分披露原则，公平对待投资者，保障投资者合法权益。当单一投资者持有基金份额比例达到或超过20%时，由此可能导致的特有风险主要包括：</w:t>
              <w:br/>
            </w:r>
            <w:r>
              <w:rPr>
                <w:rFonts w:ascii="宋体" w:hAnsi="宋体" w:cs="宋体" w:eastAsia="宋体"/>
                <w:b w:val="false"/>
              </w:rPr>
              <w:t xml:space="preserve">    1、本基金单一投资者所持有的基金份额占比较大，单一投资者的巨额赎回，可能导致基金管理人被迫抛售证券以应付基金赎回的现金需要，对本基金的投资运作及净值表现产生较大影响。</w:t>
              <w:br/>
            </w:r>
            <w:r>
              <w:rPr>
                <w:rFonts w:ascii="宋体" w:hAnsi="宋体" w:cs="宋体" w:eastAsia="宋体"/>
                <w:b w:val="false"/>
              </w:rPr>
              <w:t xml:space="preserve">    2、持有基金份额占比较高的投资者大额赎回时容易造成本基金发生巨额赎回。在发生巨额赎回情形时，在符合基金合同约定情况下，如基金管理人认为有必要，可延期办理本基金的赎回申请，投资者可能面临赎回申请被延期办理的风险；如果连续2个开放日以上（含）发生巨额赎回，基金管理人可能根据《基金合同》的约定暂停接受基金的赎回申请，对剩余投资者的赎回办理造成影响。</w:t>
              <w:br/>
            </w:r>
            <w:r>
              <w:rPr>
                <w:rFonts w:ascii="宋体" w:hAnsi="宋体" w:cs="宋体" w:eastAsia="宋体"/>
                <w:b w:val="false"/>
              </w:rPr>
              <w:t xml:space="preserve">    3、单一投资者巨额赎回可能导致本基金在短时间内无法变现足够的资产予以应对，可能会导致基金仓位调整困难，发生流动性风险。</w:t>
              <w:br/>
            </w:r>
            <w:r>
              <w:rPr>
                <w:rFonts w:ascii="宋体" w:hAnsi="宋体" w:cs="宋体" w:eastAsia="宋体"/>
                <w:b w:val="false"/>
              </w:rPr>
              <w:t xml:space="preserve">    4、持有基金份额占比较高的投资者在召开基金份额持有人大会并对重大事项进行投票表决时，可能拥有较大话语权。</w:t>
              <w:br/>
            </w:r>
            <w:r>
              <w:rPr>
                <w:rFonts w:ascii="宋体" w:hAnsi="宋体" w:cs="宋体" w:eastAsia="宋体"/>
                <w:b w:val="false"/>
              </w:rPr>
              <w:t xml:space="preserve">    5、超出基金管理人允许的单一投资者持有基金份额比例的申购申请不被确认的风险。</w:t>
            </w:r>
          </w:p>
        </w:tc>
        <w:tc>
          <w:tcPr>
            <w:hMerge w:val="continue"/>
          </w:tcPr>
          <w:p/>
        </w:tc>
        <w:tc>
          <w:tcPr>
            <w:hMerge w:val="continue"/>
          </w:tcPr>
          <w:p/>
        </w:tc>
        <w:tc>
          <w:tcPr>
            <w:hMerge w:val="continue"/>
          </w:tcPr>
          <w:p/>
        </w:tc>
        <w:tc>
          <w:tcPr>
            <w:hMerge w:val="continue"/>
          </w:tcPr>
          <w:p/>
        </w:tc>
        <w:tc>
          <w:tcPr>
            <w:hMerge w:val="continue"/>
          </w:tcPr>
          <w:p/>
        </w:tc>
        <w:tc>
          <w:tcPr>
            <w:hMerge w:val="continue"/>
          </w:tcPr>
          <w:p/>
        </w:tc>
        <w:tc>
          <w:tcPr>
            <w:hMerge w:val="continue"/>
          </w:tcPr>
          <w:p/>
        </w:tc>
      </w:tr>
    </w:tbl>
    <w:p/>
    <w:p>
      <w:pPr>
        <w:pStyle w:val="2"/>
        <w:jc w:val="left"/>
      </w:pPr>
      <w:r>
        <w:rPr>
          <w:rFonts w:ascii="宋体" w:hAnsi="宋体" w:cs="宋体" w:eastAsia="宋体"/>
        </w:rPr>
        <w:t>8.2 影响投资者决策的其他重要信息</w:t>
      </w:r>
    </w:p>
    <w:p>
      <w:r>
        <w:rPr>
          <w:rFonts w:ascii="宋体" w:hAnsi="宋体" w:cs="宋体" w:eastAsia="宋体"/>
          <w:b w:val="false"/>
        </w:rPr>
        <w:t xml:space="preserve">    无。</w:t>
      </w:r>
    </w:p>
    <w:p>
      <w:pPr>
        <w:pStyle w:val="1"/>
        <w:jc w:val="center"/>
      </w:pPr>
      <w:r>
        <w:rPr>
          <w:rFonts w:ascii="宋体" w:hAnsi="宋体" w:cs="宋体" w:eastAsia="宋体"/>
        </w:rPr>
        <w:t>§9 备查文件目录</w:t>
      </w:r>
    </w:p>
    <w:p>
      <w:pPr>
        <w:pStyle w:val="2"/>
        <w:jc w:val="left"/>
      </w:pPr>
      <w:r>
        <w:rPr>
          <w:rFonts w:ascii="宋体" w:hAnsi="宋体" w:cs="宋体" w:eastAsia="宋体"/>
        </w:rPr>
        <w:t>9.1 备查文件目录</w:t>
      </w:r>
    </w:p>
    <w:p>
      <w:r>
        <w:rPr>
          <w:rFonts w:ascii="宋体" w:hAnsi="宋体" w:cs="宋体" w:eastAsia="宋体"/>
          <w:b w:val="false"/>
        </w:rPr>
        <w:t xml:space="preserve">    1、中国证券监督管理委员会批准的东方阿尔法招阳混合型证券投资基金设立的文件；</w:t>
        <w:cr/>
      </w:r>
      <w:r>
        <w:rPr>
          <w:rFonts w:ascii="宋体" w:hAnsi="宋体" w:cs="宋体" w:eastAsia="宋体"/>
          <w:b w:val="false"/>
        </w:rPr>
        <w:t xml:space="preserve">    2、《东方阿尔法招阳混合型证券投资基金基金合同》；</w:t>
        <w:cr/>
      </w:r>
      <w:r>
        <w:rPr>
          <w:rFonts w:ascii="宋体" w:hAnsi="宋体" w:cs="宋体" w:eastAsia="宋体"/>
          <w:b w:val="false"/>
        </w:rPr>
        <w:t xml:space="preserve">    3、《东方阿尔法招阳混合型证券投资基金托管协议》；</w:t>
        <w:cr/>
      </w:r>
      <w:r>
        <w:rPr>
          <w:rFonts w:ascii="宋体" w:hAnsi="宋体" w:cs="宋体" w:eastAsia="宋体"/>
          <w:b w:val="false"/>
        </w:rPr>
        <w:t xml:space="preserve">    4、《东方阿尔法招阳混合型证券投资基金招募说明书》（含更新）；</w:t>
        <w:cr/>
      </w:r>
      <w:r>
        <w:rPr>
          <w:rFonts w:ascii="宋体" w:hAnsi="宋体" w:cs="宋体" w:eastAsia="宋体"/>
          <w:b w:val="false"/>
        </w:rPr>
        <w:t xml:space="preserve">    5、基金管理人业务资格批件和营业执照。</w:t>
      </w:r>
    </w:p>
    <w:p/>
    <w:p>
      <w:pPr>
        <w:pStyle w:val="2"/>
        <w:jc w:val="left"/>
      </w:pPr>
      <w:r>
        <w:rPr>
          <w:rFonts w:ascii="宋体" w:hAnsi="宋体" w:cs="宋体" w:eastAsia="宋体"/>
        </w:rPr>
        <w:t>9.2 存放地点</w:t>
      </w:r>
    </w:p>
    <w:p>
      <w:r>
        <w:rPr>
          <w:rFonts w:ascii="宋体" w:hAnsi="宋体" w:cs="宋体" w:eastAsia="宋体"/>
          <w:b w:val="false"/>
        </w:rPr>
        <w:t xml:space="preserve">    基金管理人和基金托管人的住所。</w:t>
      </w:r>
    </w:p>
    <w:p/>
    <w:p>
      <w:pPr>
        <w:pStyle w:val="2"/>
        <w:jc w:val="left"/>
      </w:pPr>
      <w:r>
        <w:rPr>
          <w:rFonts w:ascii="宋体" w:hAnsi="宋体" w:cs="宋体" w:eastAsia="宋体"/>
        </w:rPr>
        <w:t>9.3 查阅方式</w:t>
      </w:r>
    </w:p>
    <w:p>
      <w:r>
        <w:rPr>
          <w:rFonts w:ascii="宋体" w:hAnsi="宋体" w:cs="宋体" w:eastAsia="宋体"/>
          <w:b w:val="false"/>
        </w:rPr>
        <w:t xml:space="preserve">    1、投资者可在营业时间免费查阅，也可按工本费购买复印件。</w:t>
        <w:cr/>
      </w:r>
      <w:r>
        <w:rPr>
          <w:rFonts w:ascii="宋体" w:hAnsi="宋体" w:cs="宋体" w:eastAsia="宋体"/>
          <w:b w:val="false"/>
        </w:rPr>
        <w:t xml:space="preserve">    2、投资者对本报告书如有疑问，可咨询本基金管理人东方阿尔法基金管理有限公司，客户服务电话：400-930-6677（免长途话费）。</w:t>
        <w:cr/>
      </w:r>
      <w:r>
        <w:rPr>
          <w:rFonts w:ascii="宋体" w:hAnsi="宋体" w:cs="宋体" w:eastAsia="宋体"/>
          <w:b w:val="false"/>
        </w:rPr>
        <w:t xml:space="preserve">    3、投资者可通过中国证监会基金电子披露网站（http://eid.csrc.gov.cn/fund/）和基金管理人网站（https://www.dfa66.com）查阅本报告书。</w:t>
      </w:r>
    </w:p>
    <w:p/>
    <w:p/>
    <w:p/>
    <w:p>
      <w:pPr>
        <w:jc w:val="right"/>
      </w:pPr>
      <w:r>
        <w:rPr>
          <w:rFonts w:ascii="宋体" w:hAnsi="宋体" w:cs="宋体" w:eastAsia="宋体"/>
          <w:b w:val="true"/>
        </w:rPr>
        <w:t>东方阿尔法基金管理有限公司</w:t>
      </w:r>
    </w:p>
    <w:p>
      <w:pPr>
        <w:jc w:val="right"/>
      </w:pPr>
      <w:r>
        <w:rPr>
          <w:rFonts w:ascii="宋体" w:hAnsi="宋体" w:cs="宋体" w:eastAsia="宋体"/>
          <w:b w:val="true"/>
        </w:rPr>
        <w:t>二〇二五年十月二十五日</w:t>
      </w:r>
    </w:p>
    <w:sectPr w:rsidR="00396EB6" w:rsidSect="000B0ABB">
      <w:headerReference w:type="even" r:id="rId8"/>
      <w:headerReference w:type="default" r:id="rId9"/>
      <w:footerReference w:type="even" r:id="rId10"/>
      <w:footerReference w:type="default" r:id="rId11"/>
      <w:headerReference w:type="first" r:id="rId12"/>
      <w:footerReference w:type="first" r:id="rId13"/>
      <w:pgSz w:w="11906" w:h="16838"/>
      <w:pgMar w:top="1440" w:right="1418" w:bottom="1440" w:left="1418"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1C5DF" w14:textId="77777777" w:rsidR="00CF2DE6" w:rsidRDefault="00CF2DE6">
      <w:r>
        <w:separator/>
      </w:r>
    </w:p>
  </w:endnote>
  <w:endnote w:type="continuationSeparator" w:id="0">
    <w:p w14:paraId="7F07E51B" w14:textId="77777777" w:rsidR="00CF2DE6" w:rsidRDefault="00CF2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36F2E" w14:textId="77777777" w:rsidR="00210325" w:rsidRDefault="00210325">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10235" w14:textId="1E8BACBC" w:rsidR="00396EB6" w:rsidRPr="00BB3931" w:rsidRDefault="00315609">
    <w:pPr>
      <w:pBdr>
        <w:top w:val="single" w:sz="2" w:space="0" w:color="auto"/>
      </w:pBdr>
      <w:tabs>
        <w:tab w:val="right" w:pos="8640"/>
      </w:tabs>
      <w:jc w:val="center"/>
      <w:textAlignment w:val="center"/>
      <w:rPr>
        <w:rFonts w:ascii="宋体" w:eastAsia="宋体" w:hAnsi="宋体"/>
        <w:sz w:val="20"/>
        <w:szCs w:val="20"/>
      </w:rPr>
    </w:pPr>
    <w:r w:rsidRPr="00BB3931">
      <w:rPr>
        <w:rFonts w:ascii="宋体" w:eastAsia="宋体" w:hAnsi="宋体" w:cs="宋体" w:hint="eastAsia"/>
        <w:sz w:val="20"/>
        <w:szCs w:val="20"/>
        <w:lang w:bidi="ar"/>
      </w:rPr>
      <w:t>第</w:t>
    </w:r>
    <w:r w:rsidRPr="00BB3931">
      <w:rPr>
        <w:rFonts w:ascii="宋体" w:eastAsia="宋体" w:hAnsi="宋体" w:cs="Times New Roman" w:hint="eastAsia"/>
        <w:sz w:val="20"/>
        <w:szCs w:val="20"/>
        <w:lang w:bidi="ar"/>
      </w:rPr>
      <w:fldChar w:fldCharType="begin"/>
    </w:r>
    <w:r w:rsidRPr="00BB3931">
      <w:rPr>
        <w:rFonts w:ascii="宋体" w:eastAsia="宋体" w:hAnsi="宋体" w:cs="宋体" w:hint="eastAsia"/>
        <w:sz w:val="20"/>
        <w:szCs w:val="20"/>
        <w:lang w:bidi="ar"/>
      </w:rPr>
      <w:instrText>PAGE  \* MERGEFORMAT</w:instrText>
    </w:r>
    <w:r w:rsidRPr="00BB3931">
      <w:rPr>
        <w:rFonts w:ascii="宋体" w:eastAsia="宋体" w:hAnsi="宋体" w:cs="Times New Roman" w:hint="eastAsia"/>
        <w:sz w:val="20"/>
        <w:szCs w:val="20"/>
        <w:lang w:bidi="ar"/>
      </w:rPr>
      <w:fldChar w:fldCharType="separate"/>
    </w:r>
    <w:r w:rsidR="00421707" w:rsidRPr="00BB3931">
      <w:rPr>
        <w:rFonts w:ascii="宋体" w:eastAsia="宋体" w:hAnsi="宋体" w:cs="宋体"/>
        <w:noProof/>
        <w:sz w:val="20"/>
        <w:szCs w:val="20"/>
        <w:lang w:bidi="ar"/>
      </w:rPr>
      <w:t>2</w:t>
    </w:r>
    <w:r w:rsidRPr="00BB3931">
      <w:rPr>
        <w:rFonts w:ascii="宋体" w:eastAsia="宋体" w:hAnsi="宋体" w:cs="宋体" w:hint="eastAsia"/>
        <w:sz w:val="20"/>
        <w:szCs w:val="20"/>
        <w:lang w:bidi="ar"/>
      </w:rPr>
      <w:fldChar w:fldCharType="end"/>
    </w:r>
    <w:r w:rsidRPr="00BB3931">
      <w:rPr>
        <w:rFonts w:ascii="宋体" w:eastAsia="宋体" w:hAnsi="宋体" w:cs="宋体" w:hint="eastAsia"/>
        <w:sz w:val="20"/>
        <w:szCs w:val="20"/>
        <w:lang w:bidi="ar"/>
      </w:rPr>
      <w:t>页</w:t>
    </w:r>
    <w:r w:rsidR="00FA6399" w:rsidRPr="00BB3931">
      <w:rPr>
        <w:rFonts w:ascii="宋体" w:eastAsia="宋体" w:hAnsi="宋体" w:cs="宋体" w:hint="eastAsia"/>
        <w:sz w:val="20"/>
        <w:szCs w:val="20"/>
        <w:lang w:bidi="ar"/>
      </w:rPr>
      <w:t>，</w:t>
    </w:r>
    <w:r w:rsidRPr="00BB3931">
      <w:rPr>
        <w:rFonts w:ascii="宋体" w:eastAsia="宋体" w:hAnsi="宋体" w:cs="宋体" w:hint="eastAsia"/>
        <w:sz w:val="20"/>
        <w:szCs w:val="20"/>
        <w:lang w:bidi="ar"/>
      </w:rPr>
      <w:t>共</w:t>
    </w:r>
    <w:r w:rsidRPr="00BB3931">
      <w:rPr>
        <w:rFonts w:ascii="宋体" w:eastAsia="宋体" w:hAnsi="宋体" w:cs="Times New Roman" w:hint="eastAsia"/>
        <w:sz w:val="20"/>
        <w:szCs w:val="20"/>
        <w:lang w:bidi="ar"/>
      </w:rPr>
      <w:fldChar w:fldCharType="begin"/>
    </w:r>
    <w:r w:rsidR="00210325" w:rsidRPr="00BB3931">
      <w:rPr>
        <w:rFonts w:ascii="宋体" w:eastAsia="宋体" w:hAnsi="宋体" w:cs="Times New Roman"/>
        <w:sz w:val="20"/>
        <w:szCs w:val="20"/>
        <w:lang w:bidi="ar"/>
      </w:rPr>
      <w:instrText>=</w:instrText>
    </w:r>
    <w:r w:rsidR="00210325" w:rsidRPr="00BB3931">
      <w:rPr>
        <w:rFonts w:ascii="宋体" w:eastAsia="宋体" w:hAnsi="宋体" w:cs="宋体"/>
        <w:sz w:val="20"/>
        <w:szCs w:val="20"/>
        <w:lang w:bidi="ar"/>
      </w:rPr>
      <w:fldChar w:fldCharType="begin"/>
    </w:r>
    <w:r w:rsidR="00210325" w:rsidRPr="00BB3931">
      <w:rPr>
        <w:rFonts w:ascii="宋体" w:eastAsia="宋体" w:hAnsi="宋体" w:cs="宋体"/>
        <w:sz w:val="20"/>
        <w:szCs w:val="20"/>
        <w:lang w:bidi="ar"/>
      </w:rPr>
      <w:instrText xml:space="preserve"> </w:instrText>
    </w:r>
    <w:r w:rsidRPr="00BB3931">
      <w:rPr>
        <w:rFonts w:ascii="宋体" w:eastAsia="宋体" w:hAnsi="宋体" w:cs="宋体" w:hint="eastAsia"/>
        <w:sz w:val="20"/>
        <w:szCs w:val="20"/>
        <w:lang w:bidi="ar"/>
      </w:rPr>
      <w:instrText>NUMPAGES</w:instrText>
    </w:r>
    <w:r w:rsidR="00210325" w:rsidRPr="00BB3931">
      <w:rPr>
        <w:rFonts w:ascii="宋体" w:eastAsia="宋体" w:hAnsi="宋体" w:cs="宋体"/>
        <w:sz w:val="20"/>
        <w:szCs w:val="20"/>
        <w:lang w:bidi="ar"/>
      </w:rPr>
      <w:instrText xml:space="preserve"> </w:instrText>
    </w:r>
    <w:r w:rsidR="00210325" w:rsidRPr="00BB3931">
      <w:rPr>
        <w:rFonts w:ascii="宋体" w:eastAsia="宋体" w:hAnsi="宋体" w:cs="宋体"/>
        <w:sz w:val="20"/>
        <w:szCs w:val="20"/>
        <w:lang w:bidi="ar"/>
      </w:rPr>
      <w:fldChar w:fldCharType="separate"/>
    </w:r>
    <w:r w:rsidR="00F07C93">
      <w:rPr>
        <w:rFonts w:ascii="宋体" w:eastAsia="宋体" w:hAnsi="宋体" w:cs="宋体"/>
        <w:noProof/>
        <w:sz w:val="20"/>
        <w:szCs w:val="20"/>
        <w:lang w:bidi="ar"/>
      </w:rPr>
      <w:instrText>2</w:instrText>
    </w:r>
    <w:r w:rsidR="00210325" w:rsidRPr="00BB3931">
      <w:rPr>
        <w:rFonts w:ascii="宋体" w:eastAsia="宋体" w:hAnsi="宋体" w:cs="宋体"/>
        <w:sz w:val="20"/>
        <w:szCs w:val="20"/>
        <w:lang w:bidi="ar"/>
      </w:rPr>
      <w:fldChar w:fldCharType="end"/>
    </w:r>
    <w:r w:rsidR="00210325" w:rsidRPr="00BB3931">
      <w:rPr>
        <w:rFonts w:ascii="宋体" w:eastAsia="宋体" w:hAnsi="宋体" w:cs="宋体"/>
        <w:sz w:val="20"/>
        <w:szCs w:val="20"/>
        <w:lang w:bidi="ar"/>
      </w:rPr>
      <w:instrText>-1</w:instrText>
    </w:r>
    <w:r w:rsidRPr="00BB3931">
      <w:rPr>
        <w:rFonts w:ascii="宋体" w:eastAsia="宋体" w:hAnsi="宋体" w:cs="Times New Roman" w:hint="eastAsia"/>
        <w:sz w:val="20"/>
        <w:szCs w:val="20"/>
        <w:lang w:bidi="ar"/>
      </w:rPr>
      <w:fldChar w:fldCharType="separate"/>
    </w:r>
    <w:r w:rsidR="00F07C93">
      <w:rPr>
        <w:rFonts w:ascii="宋体" w:eastAsia="宋体" w:hAnsi="宋体" w:cs="Times New Roman"/>
        <w:noProof/>
        <w:sz w:val="20"/>
        <w:szCs w:val="20"/>
        <w:lang w:bidi="ar"/>
      </w:rPr>
      <w:t>1</w:t>
    </w:r>
    <w:r w:rsidRPr="00BB3931">
      <w:rPr>
        <w:rFonts w:ascii="宋体" w:eastAsia="宋体" w:hAnsi="宋体" w:cs="宋体" w:hint="eastAsia"/>
        <w:sz w:val="20"/>
        <w:szCs w:val="20"/>
        <w:lang w:bidi="ar"/>
      </w:rPr>
      <w:fldChar w:fldCharType="end"/>
    </w:r>
    <w:r w:rsidRPr="00BB3931">
      <w:rPr>
        <w:rFonts w:ascii="宋体" w:eastAsia="宋体" w:hAnsi="宋体" w:cs="宋体" w:hint="eastAsia"/>
        <w:sz w:val="20"/>
        <w:szCs w:val="20"/>
        <w:lang w:bidi="ar"/>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04EC9" w14:textId="77777777" w:rsidR="00210325" w:rsidRDefault="00210325">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8A83EB" w14:textId="77777777" w:rsidR="00CF2DE6" w:rsidRDefault="00CF2DE6">
      <w:r>
        <w:separator/>
      </w:r>
    </w:p>
  </w:footnote>
  <w:footnote w:type="continuationSeparator" w:id="0">
    <w:p w14:paraId="6110B940" w14:textId="77777777" w:rsidR="00CF2DE6" w:rsidRDefault="00CF2D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BB55B" w14:textId="77777777" w:rsidR="00210325" w:rsidRDefault="00210325">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98A64" w14:textId="77777777" w:rsidR="00396EB6" w:rsidRPr="00A53CFE" w:rsidRDefault="00315609">
    <w:pPr>
      <w:pStyle w:val="af1"/>
      <w:pBdr>
        <w:bottom w:val="single" w:sz="4" w:space="1" w:color="auto"/>
      </w:pBdr>
      <w:jc w:val="right"/>
      <w:rPr>
        <w:rFonts w:ascii="宋体" w:eastAsia="宋体" w:hAnsi="宋体"/>
      </w:rPr>
    </w:pPr>
    <w:r w:rsidRPr="00A53CFE">
      <w:rPr>
        <w:rFonts w:ascii="宋体" w:eastAsia="宋体" w:hAnsi="宋体" w:hint="eastAsia"/>
        <w:sz w:val="18"/>
      </w:rPr>
      <w:t>东方阿尔法招阳混合型证券投资基金2025年第3季度报告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4E7EB" w14:textId="77777777" w:rsidR="00210325" w:rsidRDefault="00210325">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4F1"/>
    <w:rsid w:val="00031D8B"/>
    <w:rsid w:val="00033BEA"/>
    <w:rsid w:val="00093312"/>
    <w:rsid w:val="000934BF"/>
    <w:rsid w:val="000B0ABB"/>
    <w:rsid w:val="000B14F1"/>
    <w:rsid w:val="000D44F1"/>
    <w:rsid w:val="000F65E0"/>
    <w:rsid w:val="001567AA"/>
    <w:rsid w:val="001663E4"/>
    <w:rsid w:val="001941F0"/>
    <w:rsid w:val="001A0694"/>
    <w:rsid w:val="001A6F82"/>
    <w:rsid w:val="001E49DE"/>
    <w:rsid w:val="001E604E"/>
    <w:rsid w:val="001E72DB"/>
    <w:rsid w:val="00210325"/>
    <w:rsid w:val="00217CEB"/>
    <w:rsid w:val="0026022A"/>
    <w:rsid w:val="00294812"/>
    <w:rsid w:val="002C6A0C"/>
    <w:rsid w:val="002D4665"/>
    <w:rsid w:val="00315609"/>
    <w:rsid w:val="00324653"/>
    <w:rsid w:val="0039693D"/>
    <w:rsid w:val="00396EB6"/>
    <w:rsid w:val="003B4810"/>
    <w:rsid w:val="00421707"/>
    <w:rsid w:val="004245F7"/>
    <w:rsid w:val="00435171"/>
    <w:rsid w:val="0048630B"/>
    <w:rsid w:val="004A5321"/>
    <w:rsid w:val="004F33D8"/>
    <w:rsid w:val="004F7772"/>
    <w:rsid w:val="005037A9"/>
    <w:rsid w:val="00514F66"/>
    <w:rsid w:val="00536F98"/>
    <w:rsid w:val="005370B1"/>
    <w:rsid w:val="0054091C"/>
    <w:rsid w:val="005826D5"/>
    <w:rsid w:val="005B565C"/>
    <w:rsid w:val="005D1F67"/>
    <w:rsid w:val="00657345"/>
    <w:rsid w:val="00686AE6"/>
    <w:rsid w:val="006935A0"/>
    <w:rsid w:val="00695511"/>
    <w:rsid w:val="006C560C"/>
    <w:rsid w:val="007A3B64"/>
    <w:rsid w:val="007B3AFF"/>
    <w:rsid w:val="007F3D78"/>
    <w:rsid w:val="00801225"/>
    <w:rsid w:val="00832DA1"/>
    <w:rsid w:val="008432E9"/>
    <w:rsid w:val="008F2779"/>
    <w:rsid w:val="00917A48"/>
    <w:rsid w:val="0092608A"/>
    <w:rsid w:val="00931CFE"/>
    <w:rsid w:val="009A04DF"/>
    <w:rsid w:val="009A27BD"/>
    <w:rsid w:val="009C2384"/>
    <w:rsid w:val="009C68F3"/>
    <w:rsid w:val="009F43BC"/>
    <w:rsid w:val="00A53CFE"/>
    <w:rsid w:val="00A76644"/>
    <w:rsid w:val="00AB695A"/>
    <w:rsid w:val="00B02205"/>
    <w:rsid w:val="00B659D3"/>
    <w:rsid w:val="00BA1D2B"/>
    <w:rsid w:val="00BB3931"/>
    <w:rsid w:val="00BB5499"/>
    <w:rsid w:val="00BD2190"/>
    <w:rsid w:val="00C05CA1"/>
    <w:rsid w:val="00C06BEF"/>
    <w:rsid w:val="00C1377F"/>
    <w:rsid w:val="00C370BD"/>
    <w:rsid w:val="00C86ED5"/>
    <w:rsid w:val="00CA50CC"/>
    <w:rsid w:val="00CF2DE6"/>
    <w:rsid w:val="00D155B6"/>
    <w:rsid w:val="00D91EBF"/>
    <w:rsid w:val="00DB110D"/>
    <w:rsid w:val="00DE3FE0"/>
    <w:rsid w:val="00E220FA"/>
    <w:rsid w:val="00E44EAD"/>
    <w:rsid w:val="00E6731E"/>
    <w:rsid w:val="00E67AEA"/>
    <w:rsid w:val="00E913D3"/>
    <w:rsid w:val="00EC2CEF"/>
    <w:rsid w:val="00EE18AB"/>
    <w:rsid w:val="00F07C93"/>
    <w:rsid w:val="00F1496B"/>
    <w:rsid w:val="00F32DCB"/>
    <w:rsid w:val="00FA0949"/>
    <w:rsid w:val="00FA22F7"/>
    <w:rsid w:val="00FA6399"/>
    <w:rsid w:val="00FE53D3"/>
    <w:rsid w:val="17FF4F08"/>
    <w:rsid w:val="312016A7"/>
    <w:rsid w:val="328572ED"/>
    <w:rsid w:val="3E9A1429"/>
    <w:rsid w:val="5EE34946"/>
    <w:rsid w:val="62671060"/>
    <w:rsid w:val="67517C74"/>
    <w:rsid w:val="791E22E2"/>
    <w:rsid w:val="7A382AC9"/>
    <w:rsid w:val="7F246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3FFCBC"/>
  <w15:docId w15:val="{D89B03D2-9D7D-433E-9AEE-2EA6D7CF9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2649"/>
    <w:pPr>
      <w:widowControl w:val="0"/>
      <w:spacing w:line="288" w:lineRule="auto"/>
      <w:jc w:val="both"/>
    </w:pPr>
    <w:rPr>
      <w:rFonts w:eastAsia="宋体"/>
    </w:rPr>
  </w:style>
  <w:style w:type="paragraph" w:styleId="1">
    <w:name w:val="heading 1"/>
    <w:aliases w:val="1"/>
    <w:basedOn w:val="a"/>
    <w:next w:val="a"/>
    <w:link w:val="10"/>
    <w:uiPriority w:val="9"/>
    <w:qFormat/>
    <w:rsid w:val="001B05B3"/>
    <w:pPr>
      <w:spacing w:before="340" w:after="330" w:line="576" w:lineRule="auto"/>
      <w:jc w:val="center"/>
      <w:outlineLvl w:val="0"/>
    </w:pPr>
    <w:rPr>
      <w:b/>
      <w:bCs/>
      <w:kern w:val="44"/>
      <w:sz w:val="24"/>
      <w:szCs w:val="44"/>
    </w:rPr>
  </w:style>
  <w:style w:type="paragraph" w:styleId="2">
    <w:name w:val="heading 2"/>
    <w:aliases w:val="2"/>
    <w:basedOn w:val="a"/>
    <w:next w:val="a"/>
    <w:link w:val="20"/>
    <w:uiPriority w:val="9"/>
    <w:unhideWhenUsed/>
    <w:qFormat/>
    <w:rsid w:val="00A5263B"/>
    <w:pPr>
      <w:adjustRightInd w:val="0"/>
      <w:spacing w:line="360" w:lineRule="auto"/>
      <w:jc w:val="left"/>
      <w:outlineLvl w:val="1"/>
    </w:pPr>
    <w:rPr>
      <w:rFonts w:asciiTheme="majorHAnsi" w:hAnsiTheme="majorHAnsi" w:cstheme="majorBidi"/>
      <w:b/>
      <w:bCs/>
      <w:sz w:val="24"/>
      <w:szCs w:val="32"/>
    </w:rPr>
  </w:style>
  <w:style w:type="paragraph" w:styleId="3">
    <w:name w:val="heading 3"/>
    <w:aliases w:val="3"/>
    <w:basedOn w:val="a"/>
    <w:next w:val="a"/>
    <w:link w:val="30"/>
    <w:uiPriority w:val="9"/>
    <w:unhideWhenUsed/>
    <w:qFormat/>
    <w:rsid w:val="00A5263B"/>
    <w:pPr>
      <w:keepNext/>
      <w:keepLines/>
      <w:spacing w:line="360" w:lineRule="auto"/>
      <w:outlineLvl w:val="2"/>
    </w:pPr>
    <w:rPr>
      <w:b/>
      <w:bCs/>
      <w:sz w:val="24"/>
      <w:szCs w:val="32"/>
    </w:rPr>
  </w:style>
  <w:style w:type="paragraph" w:styleId="4">
    <w:name w:val="heading 4"/>
    <w:basedOn w:val="a"/>
    <w:next w:val="a"/>
    <w:link w:val="40"/>
    <w:uiPriority w:val="9"/>
    <w:semiHidden/>
    <w:unhideWhenUsed/>
    <w:qFormat/>
    <w:rsid w:val="004A532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代码样式"/>
    <w:link w:val="Char"/>
    <w:qFormat/>
    <w:rsid w:val="004A5321"/>
    <w:pPr>
      <w:pBdr>
        <w:top w:val="single" w:sz="4" w:space="1" w:color="auto"/>
        <w:left w:val="single" w:sz="4" w:space="4" w:color="auto"/>
        <w:bottom w:val="single" w:sz="4" w:space="1" w:color="auto"/>
        <w:right w:val="single" w:sz="4" w:space="4" w:color="auto"/>
      </w:pBdr>
      <w:shd w:val="clear" w:color="auto" w:fill="A8D08D" w:themeFill="accent6" w:themeFillTint="99"/>
      <w:spacing w:beforeLines="50" w:afterLines="50"/>
      <w:ind w:leftChars="50" w:left="50" w:rightChars="50" w:right="50"/>
    </w:pPr>
  </w:style>
  <w:style w:type="character" w:customStyle="1" w:styleId="Char">
    <w:name w:val="代码样式 Char"/>
    <w:basedOn w:val="a0"/>
    <w:link w:val="a3"/>
    <w:qFormat/>
    <w:rsid w:val="004A5321"/>
    <w:rPr>
      <w:shd w:val="clear" w:color="auto" w:fill="A8D08D" w:themeFill="accent6" w:themeFillTint="99"/>
    </w:rPr>
  </w:style>
  <w:style w:type="character" w:customStyle="1" w:styleId="10">
    <w:name w:val="标题 1 字符"/>
    <w:aliases w:val="1 字符"/>
    <w:basedOn w:val="a0"/>
    <w:link w:val="1"/>
    <w:uiPriority w:val="9"/>
    <w:qFormat/>
    <w:rsid w:val="001B05B3"/>
    <w:rPr>
      <w:rFonts w:eastAsia="宋体"/>
      <w:b/>
      <w:bCs/>
      <w:kern w:val="44"/>
      <w:sz w:val="24"/>
      <w:szCs w:val="44"/>
    </w:rPr>
  </w:style>
  <w:style w:type="character" w:customStyle="1" w:styleId="20">
    <w:name w:val="标题 2 字符"/>
    <w:aliases w:val="2 字符"/>
    <w:basedOn w:val="a0"/>
    <w:link w:val="2"/>
    <w:uiPriority w:val="9"/>
    <w:rsid w:val="00A5263B"/>
    <w:rPr>
      <w:rFonts w:asciiTheme="majorHAnsi" w:eastAsia="宋体" w:hAnsiTheme="majorHAnsi" w:cstheme="majorBidi"/>
      <w:b/>
      <w:bCs/>
      <w:sz w:val="24"/>
      <w:szCs w:val="32"/>
    </w:rPr>
  </w:style>
  <w:style w:type="character" w:customStyle="1" w:styleId="30">
    <w:name w:val="标题 3 字符"/>
    <w:aliases w:val="3 字符"/>
    <w:basedOn w:val="a0"/>
    <w:link w:val="3"/>
    <w:uiPriority w:val="9"/>
    <w:rsid w:val="00A5263B"/>
    <w:rPr>
      <w:rFonts w:eastAsia="宋体"/>
      <w:b/>
      <w:bCs/>
      <w:sz w:val="24"/>
      <w:szCs w:val="32"/>
    </w:rPr>
  </w:style>
  <w:style w:type="character" w:customStyle="1" w:styleId="40">
    <w:name w:val="标题 4 字符"/>
    <w:basedOn w:val="a0"/>
    <w:link w:val="4"/>
    <w:uiPriority w:val="9"/>
    <w:semiHidden/>
    <w:rsid w:val="004A5321"/>
    <w:rPr>
      <w:rFonts w:asciiTheme="majorHAnsi" w:eastAsiaTheme="majorEastAsia" w:hAnsiTheme="majorHAnsi" w:cstheme="majorBidi"/>
      <w:b/>
      <w:bCs/>
      <w:sz w:val="28"/>
      <w:szCs w:val="28"/>
    </w:rPr>
  </w:style>
  <w:style w:type="paragraph" w:styleId="11">
    <w:name w:val="toc 1"/>
    <w:basedOn w:val="a"/>
    <w:next w:val="a"/>
    <w:autoRedefine/>
    <w:uiPriority w:val="39"/>
    <w:unhideWhenUsed/>
    <w:rsid w:val="00D309ED"/>
    <w:pPr>
      <w:tabs>
        <w:tab w:val="right" w:leader="dot" w:pos="9060"/>
      </w:tabs>
      <w:spacing w:line="240" w:lineRule="auto"/>
      <w:jc w:val="left"/>
    </w:pPr>
    <w:rPr>
      <w:b/>
      <w:bCs/>
      <w:caps/>
      <w:szCs w:val="20"/>
    </w:rPr>
  </w:style>
  <w:style w:type="paragraph" w:styleId="21">
    <w:name w:val="toc 2"/>
    <w:basedOn w:val="a"/>
    <w:next w:val="a"/>
    <w:autoRedefine/>
    <w:uiPriority w:val="39"/>
    <w:unhideWhenUsed/>
    <w:rsid w:val="002E045B"/>
    <w:pPr>
      <w:spacing w:line="240" w:lineRule="auto"/>
      <w:ind w:left="210"/>
      <w:jc w:val="left"/>
    </w:pPr>
    <w:rPr>
      <w:smallCaps/>
      <w:szCs w:val="20"/>
    </w:rPr>
  </w:style>
  <w:style w:type="paragraph" w:styleId="31">
    <w:name w:val="toc 3"/>
    <w:basedOn w:val="a"/>
    <w:next w:val="a"/>
    <w:autoRedefine/>
    <w:uiPriority w:val="39"/>
    <w:unhideWhenUsed/>
    <w:rsid w:val="002E045B"/>
    <w:pPr>
      <w:spacing w:line="240" w:lineRule="auto"/>
      <w:ind w:left="420"/>
      <w:jc w:val="left"/>
    </w:pPr>
    <w:rPr>
      <w:i/>
      <w:iCs/>
      <w:szCs w:val="20"/>
    </w:rPr>
  </w:style>
  <w:style w:type="paragraph" w:styleId="a4">
    <w:name w:val="Normal Indent"/>
    <w:basedOn w:val="a"/>
    <w:link w:val="a5"/>
    <w:uiPriority w:val="99"/>
    <w:semiHidden/>
    <w:unhideWhenUsed/>
    <w:rsid w:val="004A5321"/>
    <w:pPr>
      <w:ind w:firstLineChars="200" w:firstLine="420"/>
    </w:pPr>
  </w:style>
  <w:style w:type="character" w:customStyle="1" w:styleId="a5">
    <w:name w:val="正文缩进 字符"/>
    <w:link w:val="a4"/>
    <w:uiPriority w:val="99"/>
    <w:semiHidden/>
    <w:qFormat/>
    <w:rsid w:val="004A5321"/>
    <w:rPr>
      <w:rFonts w:asciiTheme="minorHAnsi" w:eastAsiaTheme="minorEastAsia" w:hAnsiTheme="minorHAnsi" w:cstheme="minorBidi"/>
      <w:sz w:val="21"/>
      <w:szCs w:val="22"/>
    </w:rPr>
  </w:style>
  <w:style w:type="paragraph" w:styleId="a6">
    <w:name w:val="annotation text"/>
    <w:basedOn w:val="a"/>
    <w:link w:val="a7"/>
    <w:uiPriority w:val="99"/>
    <w:semiHidden/>
    <w:unhideWhenUsed/>
    <w:rsid w:val="004A5321"/>
    <w:pPr>
      <w:jc w:val="left"/>
    </w:pPr>
  </w:style>
  <w:style w:type="character" w:customStyle="1" w:styleId="a7">
    <w:name w:val="批注文字 字符"/>
    <w:basedOn w:val="a0"/>
    <w:link w:val="a6"/>
    <w:uiPriority w:val="99"/>
    <w:semiHidden/>
    <w:rsid w:val="004A5321"/>
    <w:rPr>
      <w:rFonts w:asciiTheme="minorHAnsi" w:eastAsiaTheme="minorEastAsia" w:hAnsiTheme="minorHAnsi" w:cstheme="minorBidi"/>
      <w:sz w:val="21"/>
      <w:szCs w:val="22"/>
    </w:rPr>
  </w:style>
  <w:style w:type="paragraph" w:styleId="a8">
    <w:name w:val="header"/>
    <w:basedOn w:val="a"/>
    <w:link w:val="a9"/>
    <w:uiPriority w:val="99"/>
    <w:unhideWhenUsed/>
    <w:rsid w:val="004A532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4A5321"/>
    <w:rPr>
      <w:rFonts w:asciiTheme="minorHAnsi" w:eastAsiaTheme="minorEastAsia" w:hAnsiTheme="minorHAnsi" w:cstheme="minorBidi"/>
      <w:sz w:val="18"/>
      <w:szCs w:val="18"/>
    </w:rPr>
  </w:style>
  <w:style w:type="paragraph" w:styleId="aa">
    <w:name w:val="footer"/>
    <w:basedOn w:val="a"/>
    <w:link w:val="ab"/>
    <w:uiPriority w:val="99"/>
    <w:unhideWhenUsed/>
    <w:rsid w:val="004A5321"/>
    <w:pPr>
      <w:tabs>
        <w:tab w:val="center" w:pos="4153"/>
        <w:tab w:val="right" w:pos="8306"/>
      </w:tabs>
      <w:snapToGrid w:val="0"/>
      <w:jc w:val="left"/>
    </w:pPr>
    <w:rPr>
      <w:sz w:val="18"/>
      <w:szCs w:val="18"/>
    </w:rPr>
  </w:style>
  <w:style w:type="character" w:customStyle="1" w:styleId="ab">
    <w:name w:val="页脚 字符"/>
    <w:basedOn w:val="a0"/>
    <w:link w:val="aa"/>
    <w:uiPriority w:val="99"/>
    <w:rsid w:val="004A5321"/>
    <w:rPr>
      <w:rFonts w:asciiTheme="minorHAnsi" w:eastAsiaTheme="minorEastAsia" w:hAnsiTheme="minorHAnsi" w:cstheme="minorBidi"/>
      <w:sz w:val="18"/>
      <w:szCs w:val="18"/>
    </w:rPr>
  </w:style>
  <w:style w:type="character" w:styleId="ac">
    <w:name w:val="annotation reference"/>
    <w:basedOn w:val="a0"/>
    <w:uiPriority w:val="99"/>
    <w:semiHidden/>
    <w:unhideWhenUsed/>
    <w:rsid w:val="004A5321"/>
    <w:rPr>
      <w:sz w:val="21"/>
      <w:szCs w:val="21"/>
    </w:rPr>
  </w:style>
  <w:style w:type="paragraph" w:styleId="ad">
    <w:name w:val="Body Text"/>
    <w:basedOn w:val="a"/>
    <w:link w:val="ae"/>
    <w:uiPriority w:val="99"/>
    <w:semiHidden/>
    <w:unhideWhenUsed/>
    <w:rsid w:val="004A5321"/>
    <w:pPr>
      <w:spacing w:after="120"/>
    </w:pPr>
  </w:style>
  <w:style w:type="character" w:customStyle="1" w:styleId="ae">
    <w:name w:val="正文文本 字符"/>
    <w:basedOn w:val="a0"/>
    <w:link w:val="ad"/>
    <w:uiPriority w:val="99"/>
    <w:semiHidden/>
    <w:rsid w:val="004A5321"/>
    <w:rPr>
      <w:rFonts w:asciiTheme="minorHAnsi" w:eastAsiaTheme="minorEastAsia" w:hAnsiTheme="minorHAnsi" w:cstheme="minorBidi"/>
      <w:sz w:val="21"/>
      <w:szCs w:val="22"/>
    </w:rPr>
  </w:style>
  <w:style w:type="paragraph" w:styleId="af">
    <w:name w:val="Date"/>
    <w:basedOn w:val="a"/>
    <w:next w:val="a"/>
    <w:link w:val="af0"/>
    <w:uiPriority w:val="99"/>
    <w:semiHidden/>
    <w:unhideWhenUsed/>
    <w:rsid w:val="004A5321"/>
    <w:pPr>
      <w:ind w:leftChars="2500" w:left="100"/>
    </w:pPr>
  </w:style>
  <w:style w:type="character" w:customStyle="1" w:styleId="af0">
    <w:name w:val="日期 字符"/>
    <w:basedOn w:val="a0"/>
    <w:link w:val="af"/>
    <w:uiPriority w:val="99"/>
    <w:semiHidden/>
    <w:rsid w:val="004A5321"/>
    <w:rPr>
      <w:rFonts w:asciiTheme="minorHAnsi" w:eastAsiaTheme="minorEastAsia" w:hAnsiTheme="minorHAnsi" w:cstheme="minorBidi"/>
      <w:sz w:val="21"/>
      <w:szCs w:val="22"/>
    </w:rPr>
  </w:style>
  <w:style w:type="character" w:styleId="af1">
    <w:name w:val="Hyperlink"/>
    <w:basedOn w:val="a0"/>
    <w:uiPriority w:val="99"/>
    <w:unhideWhenUsed/>
    <w:rsid w:val="004A5321"/>
    <w:rPr>
      <w:color w:val="0000FF"/>
      <w:u w:val="single"/>
    </w:rPr>
  </w:style>
  <w:style w:type="character" w:styleId="af2">
    <w:name w:val="Strong"/>
    <w:basedOn w:val="a0"/>
    <w:uiPriority w:val="22"/>
    <w:qFormat/>
    <w:rsid w:val="004A5321"/>
    <w:rPr>
      <w:b/>
      <w:bCs/>
    </w:rPr>
  </w:style>
  <w:style w:type="paragraph" w:styleId="af3">
    <w:name w:val="Plain Text"/>
    <w:basedOn w:val="a"/>
    <w:link w:val="af4"/>
    <w:uiPriority w:val="99"/>
    <w:semiHidden/>
    <w:unhideWhenUsed/>
    <w:rsid w:val="004A5321"/>
    <w:rPr>
      <w:rFonts w:asciiTheme="minorEastAsia" w:hAnsi="Courier New" w:cs="Courier New"/>
    </w:rPr>
  </w:style>
  <w:style w:type="character" w:customStyle="1" w:styleId="af4">
    <w:name w:val="纯文本 字符"/>
    <w:basedOn w:val="a0"/>
    <w:link w:val="af3"/>
    <w:uiPriority w:val="99"/>
    <w:semiHidden/>
    <w:rsid w:val="004A5321"/>
    <w:rPr>
      <w:rFonts w:asciiTheme="minorEastAsia" w:eastAsiaTheme="minorEastAsia" w:hAnsi="Courier New" w:cs="Courier New"/>
      <w:sz w:val="21"/>
      <w:szCs w:val="22"/>
    </w:rPr>
  </w:style>
  <w:style w:type="paragraph" w:styleId="af5">
    <w:name w:val="Normal (Web)"/>
    <w:basedOn w:val="a"/>
    <w:uiPriority w:val="99"/>
    <w:semiHidden/>
    <w:unhideWhenUsed/>
    <w:rsid w:val="004A5321"/>
    <w:rPr>
      <w:rFonts w:ascii="Times New Roman" w:hAnsi="Times New Roman" w:cs="宋体"/>
      <w:sz w:val="24"/>
      <w:szCs w:val="24"/>
    </w:rPr>
  </w:style>
  <w:style w:type="character" w:styleId="HTML">
    <w:name w:val="HTML Code"/>
    <w:basedOn w:val="a0"/>
    <w:uiPriority w:val="99"/>
    <w:semiHidden/>
    <w:unhideWhenUsed/>
    <w:rsid w:val="004A5321"/>
    <w:rPr>
      <w:rFonts w:ascii="Courier New" w:hAnsi="Courier New" w:cs="Courier New"/>
      <w:sz w:val="20"/>
      <w:szCs w:val="20"/>
    </w:rPr>
  </w:style>
  <w:style w:type="paragraph" w:styleId="af6">
    <w:name w:val="annotation subject"/>
    <w:basedOn w:val="a6"/>
    <w:next w:val="a6"/>
    <w:link w:val="af7"/>
    <w:uiPriority w:val="99"/>
    <w:semiHidden/>
    <w:unhideWhenUsed/>
    <w:rsid w:val="004A5321"/>
    <w:rPr>
      <w:b/>
      <w:bCs/>
    </w:rPr>
  </w:style>
  <w:style w:type="character" w:customStyle="1" w:styleId="af7">
    <w:name w:val="批注主题 字符"/>
    <w:basedOn w:val="a7"/>
    <w:link w:val="af6"/>
    <w:uiPriority w:val="99"/>
    <w:semiHidden/>
    <w:rsid w:val="004A5321"/>
    <w:rPr>
      <w:rFonts w:asciiTheme="minorHAnsi" w:eastAsiaTheme="minorEastAsia" w:hAnsiTheme="minorHAnsi" w:cstheme="minorBidi"/>
      <w:b/>
      <w:bCs/>
      <w:sz w:val="21"/>
      <w:szCs w:val="22"/>
    </w:rPr>
  </w:style>
  <w:style w:type="paragraph" w:styleId="af8">
    <w:name w:val="Balloon Text"/>
    <w:basedOn w:val="a"/>
    <w:link w:val="af9"/>
    <w:uiPriority w:val="99"/>
    <w:semiHidden/>
    <w:unhideWhenUsed/>
    <w:rsid w:val="004A5321"/>
    <w:rPr>
      <w:sz w:val="18"/>
      <w:szCs w:val="18"/>
    </w:rPr>
  </w:style>
  <w:style w:type="character" w:customStyle="1" w:styleId="af9">
    <w:name w:val="批注框文本 字符"/>
    <w:basedOn w:val="a0"/>
    <w:link w:val="af8"/>
    <w:uiPriority w:val="99"/>
    <w:semiHidden/>
    <w:rsid w:val="004A5321"/>
    <w:rPr>
      <w:rFonts w:asciiTheme="minorHAnsi" w:eastAsiaTheme="minorEastAsia" w:hAnsiTheme="minorHAnsi" w:cstheme="minorBidi"/>
      <w:sz w:val="18"/>
      <w:szCs w:val="18"/>
    </w:rPr>
  </w:style>
  <w:style w:type="table" w:styleId="afa">
    <w:name w:val="Table Grid"/>
    <w:basedOn w:val="a1"/>
    <w:uiPriority w:val="39"/>
    <w:rsid w:val="004A532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1"/>
    <w:uiPriority w:val="61"/>
    <w:semiHidden/>
    <w:unhideWhenUsed/>
    <w:rsid w:val="004A5321"/>
    <w:rPr>
      <w:rFonts w:ascii="Times New Roman" w:eastAsia="宋体" w:hAnsi="Times New Roman" w:cs="Times New Roman"/>
      <w:kern w:val="0"/>
      <w:sz w:val="20"/>
      <w:szCs w:val="20"/>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styleId="afb">
    <w:name w:val="List Paragraph"/>
    <w:basedOn w:val="a"/>
    <w:uiPriority w:val="34"/>
    <w:qFormat/>
    <w:rsid w:val="004A5321"/>
    <w:pPr>
      <w:ind w:firstLineChars="200" w:firstLine="420"/>
    </w:pPr>
  </w:style>
  <w:style w:type="paragraph" w:styleId="afc">
    <w:name w:val="Title"/>
    <w:basedOn w:val="a"/>
    <w:next w:val="a"/>
    <w:link w:val="afd"/>
    <w:uiPriority w:val="10"/>
    <w:qFormat/>
    <w:rsid w:val="004A5321"/>
    <w:pPr>
      <w:spacing w:before="240" w:after="60"/>
      <w:jc w:val="center"/>
      <w:outlineLvl w:val="0"/>
    </w:pPr>
    <w:rPr>
      <w:rFonts w:asciiTheme="majorHAnsi" w:eastAsiaTheme="majorEastAsia" w:hAnsiTheme="majorHAnsi" w:cstheme="majorBidi"/>
      <w:b/>
      <w:bCs/>
      <w:sz w:val="32"/>
      <w:szCs w:val="32"/>
    </w:rPr>
  </w:style>
  <w:style w:type="character" w:customStyle="1" w:styleId="afd">
    <w:name w:val="标题 字符"/>
    <w:basedOn w:val="a0"/>
    <w:link w:val="afc"/>
    <w:uiPriority w:val="10"/>
    <w:rsid w:val="004A5321"/>
    <w:rPr>
      <w:rFonts w:asciiTheme="majorHAnsi" w:eastAsiaTheme="majorEastAsia" w:hAnsiTheme="majorHAnsi" w:cstheme="majorBidi"/>
      <w:b/>
      <w:bCs/>
      <w:sz w:val="32"/>
      <w:szCs w:val="32"/>
    </w:rPr>
  </w:style>
  <w:style w:type="paragraph" w:customStyle="1" w:styleId="biaogeleft">
    <w:name w:val="biaoge_left"/>
    <w:basedOn w:val="a"/>
    <w:rsid w:val="005C5A2D"/>
    <w:pPr>
      <w:widowControl/>
      <w:autoSpaceDE w:val="0"/>
      <w:autoSpaceDN w:val="0"/>
      <w:adjustRightInd w:val="0"/>
      <w:spacing w:before="29"/>
      <w:ind w:left="15"/>
      <w:jc w:val="left"/>
    </w:pPr>
    <w:rPr>
      <w:rFonts w:ascii="宋体" w:hAnsi="宋体" w:cs="宋体"/>
      <w:kern w:val="0"/>
      <w:szCs w:val="24"/>
    </w:rPr>
  </w:style>
  <w:style w:type="paragraph" w:customStyle="1" w:styleId="biaogecenter">
    <w:name w:val="biaoge_center"/>
    <w:basedOn w:val="a"/>
    <w:rsid w:val="005C5A2D"/>
    <w:pPr>
      <w:widowControl/>
      <w:autoSpaceDE w:val="0"/>
      <w:autoSpaceDN w:val="0"/>
      <w:adjustRightInd w:val="0"/>
      <w:spacing w:before="29"/>
      <w:ind w:left="15"/>
      <w:jc w:val="center"/>
    </w:pPr>
    <w:rPr>
      <w:rFonts w:ascii="宋体" w:hAnsi="宋体" w:cs="宋体"/>
      <w:kern w:val="0"/>
      <w:szCs w:val="24"/>
    </w:rPr>
  </w:style>
  <w:style w:type="paragraph" w:customStyle="1" w:styleId="biaogeright">
    <w:name w:val="biaoge_right"/>
    <w:basedOn w:val="a"/>
    <w:rsid w:val="005C5A2D"/>
    <w:pPr>
      <w:widowControl/>
      <w:autoSpaceDE w:val="0"/>
      <w:autoSpaceDN w:val="0"/>
      <w:adjustRightInd w:val="0"/>
      <w:spacing w:before="29"/>
      <w:ind w:left="15"/>
      <w:jc w:val="right"/>
    </w:pPr>
    <w:rPr>
      <w:rFonts w:ascii="宋体" w:hAnsi="宋体" w:cs="宋体"/>
      <w:kern w:val="0"/>
      <w:szCs w:val="24"/>
    </w:rPr>
  </w:style>
  <w:style w:type="character" w:customStyle="1" w:styleId="zw">
    <w:name w:val="zw"/>
    <w:basedOn w:val="a0"/>
    <w:uiPriority w:val="1"/>
    <w:qFormat/>
    <w:rsid w:val="00EA2BBA"/>
    <w:rPr>
      <w:rFonts w:ascii="宋体" w:eastAsia="宋体" w:hAnsi="宋体"/>
      <w:color w:val="000000" w:themeColor="text1"/>
      <w:sz w:val="21"/>
    </w:rPr>
  </w:style>
  <w:style w:type="paragraph" w:styleId="TOC">
    <w:name w:val="TOC Heading"/>
    <w:basedOn w:val="1"/>
    <w:next w:val="a"/>
    <w:uiPriority w:val="39"/>
    <w:unhideWhenUsed/>
    <w:qFormat/>
    <w:rsid w:val="006907AF"/>
    <w:pPr>
      <w:keepNext/>
      <w:keepLines/>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41">
    <w:name w:val="toc 4"/>
    <w:basedOn w:val="a"/>
    <w:next w:val="a"/>
    <w:autoRedefine/>
    <w:uiPriority w:val="39"/>
    <w:unhideWhenUsed/>
    <w:rsid w:val="001A4FE5"/>
    <w:pPr>
      <w:ind w:left="630"/>
      <w:jc w:val="left"/>
    </w:pPr>
    <w:rPr>
      <w:sz w:val="18"/>
      <w:szCs w:val="18"/>
    </w:rPr>
  </w:style>
  <w:style w:type="paragraph" w:styleId="5">
    <w:name w:val="toc 5"/>
    <w:basedOn w:val="a"/>
    <w:next w:val="a"/>
    <w:autoRedefine/>
    <w:uiPriority w:val="39"/>
    <w:unhideWhenUsed/>
    <w:rsid w:val="001A4FE5"/>
    <w:pPr>
      <w:ind w:left="840"/>
      <w:jc w:val="left"/>
    </w:pPr>
    <w:rPr>
      <w:sz w:val="18"/>
      <w:szCs w:val="18"/>
    </w:rPr>
  </w:style>
  <w:style w:type="paragraph" w:styleId="6">
    <w:name w:val="toc 6"/>
    <w:basedOn w:val="a"/>
    <w:next w:val="a"/>
    <w:autoRedefine/>
    <w:uiPriority w:val="39"/>
    <w:unhideWhenUsed/>
    <w:rsid w:val="001A4FE5"/>
    <w:pPr>
      <w:ind w:left="1050"/>
      <w:jc w:val="left"/>
    </w:pPr>
    <w:rPr>
      <w:sz w:val="18"/>
      <w:szCs w:val="18"/>
    </w:rPr>
  </w:style>
  <w:style w:type="paragraph" w:styleId="7">
    <w:name w:val="toc 7"/>
    <w:basedOn w:val="a"/>
    <w:next w:val="a"/>
    <w:autoRedefine/>
    <w:uiPriority w:val="39"/>
    <w:unhideWhenUsed/>
    <w:rsid w:val="001A4FE5"/>
    <w:pPr>
      <w:ind w:left="1260"/>
      <w:jc w:val="left"/>
    </w:pPr>
    <w:rPr>
      <w:sz w:val="18"/>
      <w:szCs w:val="18"/>
    </w:rPr>
  </w:style>
  <w:style w:type="paragraph" w:styleId="8">
    <w:name w:val="toc 8"/>
    <w:basedOn w:val="a"/>
    <w:next w:val="a"/>
    <w:autoRedefine/>
    <w:uiPriority w:val="39"/>
    <w:unhideWhenUsed/>
    <w:rsid w:val="000160C2"/>
    <w:pPr>
      <w:ind w:left="1470"/>
      <w:jc w:val="left"/>
    </w:pPr>
    <w:rPr>
      <w:rFonts w:eastAsiaTheme="minorHAnsi"/>
      <w:sz w:val="18"/>
      <w:szCs w:val="18"/>
    </w:rPr>
  </w:style>
  <w:style w:type="paragraph" w:styleId="9">
    <w:name w:val="toc 9"/>
    <w:basedOn w:val="a"/>
    <w:next w:val="a"/>
    <w:autoRedefine/>
    <w:uiPriority w:val="39"/>
    <w:unhideWhenUsed/>
    <w:rsid w:val="000160C2"/>
    <w:pPr>
      <w:ind w:left="1680"/>
      <w:jc w:val="left"/>
    </w:pPr>
    <w:rPr>
      <w:rFonts w:eastAsiaTheme="minorHAnsi"/>
      <w:sz w:val="18"/>
      <w:szCs w:val="18"/>
    </w:rPr>
  </w:style>
  <w:style w:type="paragraph" w:styleId="afe">
    <w:name w:val="Document Map"/>
    <w:basedOn w:val="a"/>
    <w:link w:val="aff"/>
    <w:uiPriority w:val="99"/>
    <w:semiHidden/>
    <w:unhideWhenUsed/>
    <w:rsid w:val="001A4FE5"/>
    <w:rPr>
      <w:rFonts w:ascii="宋体"/>
      <w:sz w:val="18"/>
      <w:szCs w:val="18"/>
    </w:rPr>
  </w:style>
  <w:style w:type="character" w:customStyle="1" w:styleId="aff">
    <w:name w:val="文档结构图 字符"/>
    <w:basedOn w:val="a0"/>
    <w:link w:val="afe"/>
    <w:uiPriority w:val="99"/>
    <w:semiHidden/>
    <w:rsid w:val="001A4FE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39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16" Target="media/image1.png" Type="http://schemas.openxmlformats.org/officeDocument/2006/relationships/image"/><Relationship Id="rId17" Target="media/image2.png" Type="http://schemas.openxmlformats.org/officeDocument/2006/relationships/image"/><Relationship Id="rId18" Target="media/image3.png" Type="http://schemas.openxmlformats.org/officeDocument/2006/relationships/image"/><Relationship Id="rId2" Target="../customXml/item2.xml" Type="http://schemas.openxmlformats.org/officeDocument/2006/relationships/customXml"/><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90AC41-F1FC-4D08-9FC0-94272FA53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24</Words>
  <Characters>139</Characters>
  <Application>Microsoft Office Word</Application>
  <DocSecurity>0</DocSecurity>
  <Lines>1</Lines>
  <Paragraphs>1</Paragraphs>
  <ScaleCrop>false</ScaleCrop>
  <Company/>
  <LinksUpToDate>false</LinksUpToDate>
  <CharactersWithSpaces>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2020-03-27T02:14:00Z</dcterms:created>
  <cp:lastModifiedBy>李煜</cp:lastModifiedBy>
  <dcterms:modified xsi:type="dcterms:W3CDTF">2024-12-03T03:02:00Z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