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26CD91">
      <w:pPr>
        <w:tabs>
          <w:tab w:val="right" w:leader="dot" w:pos="9080"/>
        </w:tabs>
        <w:spacing w:before="72" w:after="120"/>
        <w:jc w:val="center"/>
        <w:rPr>
          <w:rFonts w:ascii="宋体" w:hAnsi="宋体"/>
          <w:b/>
          <w:bCs/>
          <w:sz w:val="24"/>
        </w:rPr>
      </w:pPr>
    </w:p>
    <w:p w14:paraId="52A90100">
      <w:pPr>
        <w:tabs>
          <w:tab w:val="right" w:leader="dot" w:pos="9080"/>
        </w:tabs>
        <w:spacing w:before="72" w:after="120"/>
        <w:jc w:val="center"/>
        <w:rPr>
          <w:rFonts w:ascii="宋体" w:hAnsi="宋体"/>
          <w:b/>
          <w:bCs/>
          <w:sz w:val="24"/>
        </w:rPr>
      </w:pPr>
    </w:p>
    <w:p w14:paraId="38984839">
      <w:pPr>
        <w:tabs>
          <w:tab w:val="right" w:leader="dot" w:pos="9080"/>
        </w:tabs>
        <w:jc w:val="center"/>
        <w:rPr>
          <w:rFonts w:ascii="黑体" w:hAnsi="黑体" w:eastAsia="黑体"/>
          <w:b/>
          <w:bCs/>
          <w:sz w:val="36"/>
          <w:szCs w:val="36"/>
        </w:rPr>
      </w:pPr>
      <w:r>
        <w:rPr>
          <w:rFonts w:hint="eastAsia" w:ascii="黑体" w:hAnsi="黑体" w:eastAsia="黑体"/>
          <w:b/>
          <w:bCs/>
          <w:sz w:val="36"/>
          <w:szCs w:val="36"/>
        </w:rPr>
        <w:t>东方阿尔法招阳混合型证券投资基金</w:t>
      </w:r>
    </w:p>
    <w:p w14:paraId="451789C6">
      <w:pPr>
        <w:tabs>
          <w:tab w:val="right" w:leader="dot" w:pos="9080"/>
        </w:tabs>
        <w:jc w:val="center"/>
        <w:rPr>
          <w:rFonts w:ascii="黑体" w:hAnsi="黑体" w:eastAsia="黑体"/>
          <w:b/>
          <w:bCs/>
          <w:sz w:val="36"/>
          <w:szCs w:val="36"/>
        </w:rPr>
      </w:pPr>
      <w:r>
        <w:rPr>
          <w:rFonts w:hint="eastAsia" w:ascii="黑体" w:hAnsi="黑体" w:eastAsia="黑体"/>
          <w:b/>
          <w:bCs/>
          <w:sz w:val="36"/>
          <w:szCs w:val="36"/>
        </w:rPr>
        <w:t>2025年第2季度报告</w:t>
      </w:r>
    </w:p>
    <w:p w14:paraId="330D4D51">
      <w:pPr>
        <w:tabs>
          <w:tab w:val="right" w:leader="dot" w:pos="9080"/>
        </w:tabs>
        <w:spacing w:line="480" w:lineRule="auto"/>
        <w:jc w:val="center"/>
        <w:rPr>
          <w:rFonts w:ascii="宋体" w:hAnsi="宋体" w:eastAsia="宋体" w:cs="宋体"/>
          <w:b/>
          <w:bCs/>
          <w:sz w:val="24"/>
        </w:rPr>
      </w:pPr>
      <w:r>
        <w:rPr>
          <w:rFonts w:hint="eastAsia" w:ascii="宋体" w:hAnsi="宋体" w:eastAsia="宋体" w:cs="宋体"/>
          <w:b/>
          <w:bCs/>
          <w:sz w:val="24"/>
        </w:rPr>
        <w:t>2025年06月30日</w:t>
      </w:r>
    </w:p>
    <w:p w14:paraId="205BF4D8">
      <w:pPr>
        <w:tabs>
          <w:tab w:val="right" w:leader="dot" w:pos="9080"/>
        </w:tabs>
        <w:spacing w:before="72" w:after="120"/>
        <w:jc w:val="center"/>
        <w:rPr>
          <w:rFonts w:ascii="宋体" w:hAnsi="宋体"/>
          <w:b/>
          <w:bCs/>
          <w:sz w:val="24"/>
        </w:rPr>
      </w:pPr>
    </w:p>
    <w:p w14:paraId="02CCC2D6">
      <w:pPr>
        <w:tabs>
          <w:tab w:val="right" w:leader="dot" w:pos="9080"/>
        </w:tabs>
        <w:spacing w:before="72" w:after="120"/>
        <w:jc w:val="center"/>
        <w:rPr>
          <w:rFonts w:ascii="宋体" w:hAnsi="宋体"/>
          <w:b/>
          <w:bCs/>
          <w:sz w:val="24"/>
        </w:rPr>
      </w:pPr>
    </w:p>
    <w:p w14:paraId="045B4059">
      <w:pPr>
        <w:tabs>
          <w:tab w:val="right" w:leader="dot" w:pos="9080"/>
        </w:tabs>
        <w:spacing w:before="72" w:after="120"/>
        <w:jc w:val="center"/>
        <w:rPr>
          <w:rFonts w:ascii="宋体" w:hAnsi="宋体"/>
          <w:b/>
          <w:bCs/>
          <w:sz w:val="24"/>
        </w:rPr>
      </w:pPr>
    </w:p>
    <w:p w14:paraId="3BC03714">
      <w:pPr>
        <w:tabs>
          <w:tab w:val="right" w:leader="dot" w:pos="9080"/>
        </w:tabs>
        <w:spacing w:before="72" w:after="120"/>
        <w:jc w:val="center"/>
        <w:rPr>
          <w:rFonts w:ascii="宋体" w:hAnsi="宋体"/>
          <w:b/>
          <w:bCs/>
          <w:sz w:val="24"/>
        </w:rPr>
      </w:pPr>
    </w:p>
    <w:p w14:paraId="580DD332">
      <w:pPr>
        <w:tabs>
          <w:tab w:val="right" w:leader="dot" w:pos="9080"/>
        </w:tabs>
        <w:spacing w:before="72" w:after="120"/>
        <w:jc w:val="center"/>
        <w:rPr>
          <w:rFonts w:ascii="宋体" w:hAnsi="宋体"/>
          <w:b/>
          <w:bCs/>
          <w:sz w:val="24"/>
        </w:rPr>
      </w:pPr>
    </w:p>
    <w:p w14:paraId="256C0706">
      <w:pPr>
        <w:tabs>
          <w:tab w:val="right" w:leader="dot" w:pos="9080"/>
        </w:tabs>
        <w:spacing w:before="72" w:after="120"/>
        <w:jc w:val="center"/>
        <w:rPr>
          <w:rFonts w:ascii="宋体" w:hAnsi="宋体"/>
          <w:b/>
          <w:bCs/>
          <w:sz w:val="24"/>
        </w:rPr>
      </w:pPr>
    </w:p>
    <w:p w14:paraId="3C562D33">
      <w:pPr>
        <w:tabs>
          <w:tab w:val="right" w:leader="dot" w:pos="9080"/>
        </w:tabs>
        <w:spacing w:before="72" w:after="120"/>
        <w:jc w:val="center"/>
        <w:rPr>
          <w:rFonts w:ascii="宋体" w:hAnsi="宋体"/>
          <w:b/>
          <w:bCs/>
          <w:sz w:val="24"/>
        </w:rPr>
      </w:pPr>
    </w:p>
    <w:p w14:paraId="5110C3F6">
      <w:pPr>
        <w:tabs>
          <w:tab w:val="right" w:leader="dot" w:pos="9080"/>
        </w:tabs>
        <w:spacing w:before="72" w:after="120"/>
        <w:jc w:val="center"/>
        <w:rPr>
          <w:rFonts w:ascii="宋体" w:hAnsi="宋体"/>
          <w:b/>
          <w:bCs/>
          <w:sz w:val="24"/>
        </w:rPr>
      </w:pPr>
    </w:p>
    <w:p w14:paraId="0B3A8452">
      <w:pPr>
        <w:tabs>
          <w:tab w:val="right" w:leader="dot" w:pos="9080"/>
        </w:tabs>
        <w:spacing w:before="72" w:after="120"/>
        <w:jc w:val="center"/>
        <w:rPr>
          <w:rFonts w:ascii="宋体" w:hAnsi="宋体"/>
          <w:b/>
          <w:bCs/>
          <w:sz w:val="24"/>
        </w:rPr>
      </w:pPr>
    </w:p>
    <w:p w14:paraId="5EF2E9FF">
      <w:pPr>
        <w:tabs>
          <w:tab w:val="right" w:leader="dot" w:pos="9080"/>
        </w:tabs>
        <w:spacing w:before="72" w:after="120"/>
        <w:jc w:val="center"/>
        <w:rPr>
          <w:rFonts w:ascii="宋体" w:hAnsi="宋体"/>
          <w:b/>
          <w:bCs/>
          <w:sz w:val="24"/>
        </w:rPr>
      </w:pPr>
    </w:p>
    <w:p w14:paraId="2807BBEC">
      <w:pPr>
        <w:tabs>
          <w:tab w:val="right" w:leader="dot" w:pos="9080"/>
        </w:tabs>
        <w:spacing w:before="72" w:after="120"/>
        <w:jc w:val="center"/>
        <w:rPr>
          <w:rFonts w:ascii="宋体" w:hAnsi="宋体"/>
          <w:b/>
          <w:bCs/>
          <w:sz w:val="24"/>
        </w:rPr>
      </w:pPr>
    </w:p>
    <w:p w14:paraId="4BC10FDF">
      <w:pPr>
        <w:tabs>
          <w:tab w:val="right" w:leader="dot" w:pos="9080"/>
        </w:tabs>
        <w:spacing w:before="72" w:after="120"/>
        <w:jc w:val="center"/>
        <w:rPr>
          <w:rFonts w:ascii="宋体" w:hAnsi="宋体"/>
          <w:b/>
          <w:bCs/>
          <w:sz w:val="24"/>
        </w:rPr>
      </w:pPr>
    </w:p>
    <w:p w14:paraId="488AAE42">
      <w:pPr>
        <w:tabs>
          <w:tab w:val="right" w:leader="dot" w:pos="9080"/>
        </w:tabs>
        <w:spacing w:before="72" w:after="120"/>
        <w:jc w:val="center"/>
        <w:rPr>
          <w:rFonts w:ascii="宋体" w:hAnsi="宋体"/>
          <w:b/>
          <w:bCs/>
          <w:sz w:val="24"/>
        </w:rPr>
      </w:pPr>
    </w:p>
    <w:p w14:paraId="0B4C086D">
      <w:pPr>
        <w:tabs>
          <w:tab w:val="right" w:leader="dot" w:pos="9080"/>
        </w:tabs>
        <w:spacing w:before="72" w:after="120"/>
        <w:jc w:val="center"/>
        <w:rPr>
          <w:rFonts w:ascii="宋体" w:hAnsi="宋体"/>
          <w:b/>
          <w:bCs/>
          <w:sz w:val="24"/>
        </w:rPr>
      </w:pPr>
    </w:p>
    <w:p w14:paraId="7EEBE708">
      <w:pPr>
        <w:tabs>
          <w:tab w:val="right" w:leader="dot" w:pos="9080"/>
        </w:tabs>
        <w:spacing w:before="72" w:after="120"/>
        <w:jc w:val="center"/>
        <w:rPr>
          <w:rFonts w:ascii="宋体" w:hAnsi="宋体"/>
          <w:b/>
          <w:bCs/>
          <w:sz w:val="24"/>
        </w:rPr>
      </w:pPr>
    </w:p>
    <w:p w14:paraId="3B0B08E8">
      <w:pPr>
        <w:tabs>
          <w:tab w:val="right" w:leader="dot" w:pos="9080"/>
        </w:tabs>
        <w:spacing w:line="360" w:lineRule="auto"/>
        <w:jc w:val="center"/>
        <w:rPr>
          <w:rFonts w:ascii="宋体" w:hAnsi="宋体" w:eastAsia="宋体" w:cs="宋体"/>
          <w:b/>
          <w:bCs/>
          <w:sz w:val="24"/>
        </w:rPr>
      </w:pPr>
      <w:r>
        <w:rPr>
          <w:rFonts w:hint="eastAsia" w:ascii="宋体" w:hAnsi="宋体" w:eastAsia="宋体" w:cs="宋体"/>
          <w:b/>
          <w:bCs/>
          <w:sz w:val="24"/>
        </w:rPr>
        <w:t>基金管理人:</w:t>
      </w:r>
      <w:r>
        <w:rPr>
          <w:rFonts w:ascii="宋体" w:hAnsi="宋体" w:eastAsia="宋体" w:cs="宋体"/>
          <w:b/>
          <w:color w:val="auto"/>
          <w:sz w:val="24"/>
          <w:u w:val="none"/>
        </w:rPr>
        <w:t>东方阿尔法基金管理有限公司</w:t>
      </w:r>
    </w:p>
    <w:p w14:paraId="31616E72">
      <w:pPr>
        <w:tabs>
          <w:tab w:val="right" w:leader="dot" w:pos="9080"/>
        </w:tabs>
        <w:spacing w:line="360" w:lineRule="auto"/>
        <w:jc w:val="center"/>
        <w:rPr>
          <w:rFonts w:ascii="宋体" w:hAnsi="宋体" w:eastAsia="宋体" w:cs="宋体"/>
          <w:b/>
          <w:bCs/>
          <w:sz w:val="24"/>
        </w:rPr>
      </w:pPr>
      <w:r>
        <w:rPr>
          <w:rFonts w:hint="eastAsia" w:ascii="宋体" w:hAnsi="宋体" w:eastAsia="宋体" w:cs="宋体"/>
          <w:b/>
          <w:bCs/>
          <w:sz w:val="24"/>
        </w:rPr>
        <w:t>基金托管人:</w:t>
      </w:r>
      <w:r>
        <w:rPr>
          <w:rFonts w:ascii="宋体" w:hAnsi="宋体" w:eastAsia="宋体" w:cs="宋体"/>
          <w:b/>
          <w:color w:val="auto"/>
          <w:sz w:val="24"/>
          <w:u w:val="none"/>
        </w:rPr>
        <w:t>招商银行股份有限公司</w:t>
      </w:r>
    </w:p>
    <w:p w14:paraId="01D6CDCE">
      <w:pPr>
        <w:tabs>
          <w:tab w:val="right" w:leader="dot" w:pos="9080"/>
        </w:tabs>
        <w:spacing w:line="360" w:lineRule="auto"/>
        <w:jc w:val="center"/>
        <w:rPr>
          <w:rFonts w:ascii="宋体" w:hAnsi="宋体" w:eastAsia="宋体" w:cs="宋体"/>
          <w:b/>
          <w:bCs/>
          <w:sz w:val="24"/>
        </w:rPr>
      </w:pPr>
      <w:r>
        <w:rPr>
          <w:rFonts w:hint="eastAsia" w:ascii="宋体" w:hAnsi="宋体" w:eastAsia="宋体" w:cs="宋体"/>
          <w:b/>
          <w:bCs/>
          <w:sz w:val="24"/>
        </w:rPr>
        <w:t>报告送出日期:</w:t>
      </w:r>
      <w:r>
        <w:rPr>
          <w:rFonts w:ascii="宋体" w:hAnsi="宋体" w:eastAsia="宋体" w:cs="宋体"/>
          <w:b/>
          <w:color w:val="auto"/>
          <w:sz w:val="24"/>
          <w:u w:val="none"/>
        </w:rPr>
        <w:t>2025年07月19日</w:t>
      </w:r>
    </w:p>
    <w:p w14:paraId="28A208C4">
      <w:pPr>
        <w:jc w:val="center"/>
      </w:pPr>
      <w:r>
        <w:br w:type="page"/>
      </w:r>
    </w:p>
    <w:p w14:paraId="6B371222">
      <w:pPr>
        <w:pStyle w:val="2"/>
        <w:spacing w:line="576" w:lineRule="auto"/>
        <w:jc w:val="center"/>
        <w:rPr>
          <w:rFonts w:ascii="宋体" w:hAnsi="宋体" w:eastAsia="宋体"/>
          <w:sz w:val="24"/>
          <w:szCs w:val="24"/>
        </w:rPr>
      </w:pPr>
      <w:bookmarkStart w:id="0" w:name="_Toc73379713"/>
      <w:r>
        <w:rPr>
          <w:rFonts w:hint="eastAsia" w:ascii="宋体" w:hAnsi="宋体" w:eastAsia="宋体"/>
          <w:bCs w:val="0"/>
          <w:sz w:val="24"/>
          <w:szCs w:val="24"/>
        </w:rPr>
        <w:t>§1 重要提示</w:t>
      </w:r>
      <w:bookmarkEnd w:id="0"/>
    </w:p>
    <w:p w14:paraId="7F352D6E">
      <w:pPr>
        <w:widowControl/>
        <w:rPr>
          <w:rFonts w:ascii="宋体" w:hAnsi="宋体" w:eastAsia="宋体"/>
        </w:rPr>
      </w:pPr>
      <w:r>
        <w:t xml:space="preserve">    基金管理人的董事会及董事保证本报告所载资料不存在虚假记载、误导性陈述或重大遗漏，并对其内容的真实性、准确性和完整性承担个别及连带责任。</w:t>
      </w:r>
      <w:r>
        <w:cr/>
      </w:r>
      <w:r>
        <w:t xml:space="preserve">    基金托管人招商银行股份有限公司根据本基金合同规定，于2025年07月18日复核了本报告中的财务指标、净值表现和投资组合报告等内容，保证复核内容不存在虚假记载、误导性陈述或者重大遗漏。</w:t>
      </w:r>
      <w:r>
        <w:cr/>
      </w:r>
      <w:r>
        <w:t xml:space="preserve">    基金管理人承诺以诚实信用、勤勉尽责的原则管理和运用基金资产，但不保证基金一定盈利。</w:t>
      </w:r>
      <w:r>
        <w:cr/>
      </w:r>
      <w:r>
        <w:t xml:space="preserve">    基金的过往业绩并不代表其未来表现。投资有风险，投资者在做出投资决策前应仔细阅读本基金的招募说明书。</w:t>
      </w:r>
      <w:r>
        <w:cr/>
      </w:r>
      <w:r>
        <w:t xml:space="preserve">    本报告中财务资料未经审计。</w:t>
      </w:r>
      <w:r>
        <w:cr/>
      </w:r>
      <w:r>
        <w:t xml:space="preserve">    本报告期自2025年04月01日起至2025年06月30日止。</w:t>
      </w:r>
    </w:p>
    <w:p w14:paraId="2414E6C6"/>
    <w:p w14:paraId="60EFA909">
      <w:pPr>
        <w:pStyle w:val="2"/>
        <w:jc w:val="center"/>
      </w:pPr>
      <w:r>
        <w:rPr>
          <w:rFonts w:ascii="宋体" w:hAnsi="宋体" w:eastAsia="宋体" w:cs="宋体"/>
        </w:rPr>
        <w:t>§2 基金产品概况</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71"/>
        <w:gridCol w:w="1857"/>
        <w:gridCol w:w="1857"/>
        <w:gridCol w:w="2001"/>
      </w:tblGrid>
      <w:tr w14:paraId="0DC09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3" w:type="pct"/>
          </w:tcPr>
          <w:p w14:paraId="125F133E">
            <w:pPr>
              <w:spacing w:line="240" w:lineRule="auto"/>
              <w:jc w:val="left"/>
            </w:pPr>
            <w:r>
              <w:rPr>
                <w:rFonts w:ascii="宋体" w:hAnsi="宋体" w:eastAsia="宋体" w:cs="宋体"/>
                <w:b w:val="0"/>
              </w:rPr>
              <w:t>基金简称</w:t>
            </w:r>
          </w:p>
        </w:tc>
        <w:tc>
          <w:tcPr>
            <w:tcW w:w="3077" w:type="pct"/>
            <w:gridSpan w:val="3"/>
          </w:tcPr>
          <w:p w14:paraId="12D3BD3B">
            <w:pPr>
              <w:spacing w:line="240" w:lineRule="auto"/>
              <w:jc w:val="left"/>
            </w:pPr>
            <w:r>
              <w:rPr>
                <w:rFonts w:ascii="宋体" w:hAnsi="宋体" w:eastAsia="宋体" w:cs="宋体"/>
                <w:b w:val="0"/>
              </w:rPr>
              <w:t>东方阿尔法招阳混合</w:t>
            </w:r>
          </w:p>
        </w:tc>
      </w:tr>
      <w:tr w14:paraId="35168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3" w:type="pct"/>
          </w:tcPr>
          <w:p w14:paraId="2F43CADF">
            <w:pPr>
              <w:spacing w:line="240" w:lineRule="auto"/>
              <w:jc w:val="left"/>
            </w:pPr>
            <w:r>
              <w:rPr>
                <w:rFonts w:ascii="宋体" w:hAnsi="宋体" w:eastAsia="宋体" w:cs="宋体"/>
                <w:b w:val="0"/>
              </w:rPr>
              <w:t>基金主代码</w:t>
            </w:r>
          </w:p>
        </w:tc>
        <w:tc>
          <w:tcPr>
            <w:tcW w:w="0" w:type="dxa"/>
            <w:gridSpan w:val="3"/>
          </w:tcPr>
          <w:p w14:paraId="79F6DEB9">
            <w:pPr>
              <w:spacing w:line="240" w:lineRule="auto"/>
              <w:jc w:val="left"/>
            </w:pPr>
            <w:r>
              <w:rPr>
                <w:rFonts w:ascii="宋体" w:hAnsi="宋体" w:eastAsia="宋体" w:cs="宋体"/>
                <w:b w:val="0"/>
              </w:rPr>
              <w:t>011184</w:t>
            </w:r>
          </w:p>
        </w:tc>
      </w:tr>
      <w:tr w14:paraId="58F9D0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3" w:type="pct"/>
          </w:tcPr>
          <w:p w14:paraId="1BB6A74D">
            <w:pPr>
              <w:spacing w:line="240" w:lineRule="auto"/>
              <w:jc w:val="left"/>
            </w:pPr>
            <w:r>
              <w:rPr>
                <w:rFonts w:ascii="宋体" w:hAnsi="宋体" w:eastAsia="宋体" w:cs="宋体"/>
                <w:b w:val="0"/>
              </w:rPr>
              <w:t>基金运作方式</w:t>
            </w:r>
          </w:p>
        </w:tc>
        <w:tc>
          <w:tcPr>
            <w:tcW w:w="0" w:type="dxa"/>
            <w:gridSpan w:val="3"/>
          </w:tcPr>
          <w:p w14:paraId="6D54686B">
            <w:pPr>
              <w:spacing w:line="240" w:lineRule="auto"/>
              <w:jc w:val="left"/>
            </w:pPr>
            <w:r>
              <w:rPr>
                <w:rFonts w:ascii="宋体" w:hAnsi="宋体" w:eastAsia="宋体" w:cs="宋体"/>
                <w:b w:val="0"/>
              </w:rPr>
              <w:t>契约型开放式</w:t>
            </w:r>
          </w:p>
        </w:tc>
      </w:tr>
      <w:tr w14:paraId="612BB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3" w:type="pct"/>
          </w:tcPr>
          <w:p w14:paraId="111C01E5">
            <w:pPr>
              <w:spacing w:line="240" w:lineRule="auto"/>
              <w:jc w:val="left"/>
            </w:pPr>
            <w:r>
              <w:rPr>
                <w:rFonts w:ascii="宋体" w:hAnsi="宋体" w:eastAsia="宋体" w:cs="宋体"/>
                <w:b w:val="0"/>
              </w:rPr>
              <w:t>基金合同生效日</w:t>
            </w:r>
          </w:p>
        </w:tc>
        <w:tc>
          <w:tcPr>
            <w:tcW w:w="0" w:type="dxa"/>
            <w:gridSpan w:val="3"/>
          </w:tcPr>
          <w:p w14:paraId="2C5E9486">
            <w:pPr>
              <w:spacing w:line="240" w:lineRule="auto"/>
              <w:jc w:val="left"/>
            </w:pPr>
            <w:r>
              <w:rPr>
                <w:rFonts w:ascii="宋体" w:hAnsi="宋体" w:eastAsia="宋体" w:cs="宋体"/>
                <w:b w:val="0"/>
              </w:rPr>
              <w:t>2021年03月17日</w:t>
            </w:r>
          </w:p>
        </w:tc>
      </w:tr>
      <w:tr w14:paraId="376AD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3" w:type="pct"/>
          </w:tcPr>
          <w:p w14:paraId="016982FE">
            <w:pPr>
              <w:spacing w:line="240" w:lineRule="auto"/>
              <w:jc w:val="left"/>
            </w:pPr>
            <w:r>
              <w:rPr>
                <w:rFonts w:ascii="宋体" w:hAnsi="宋体" w:eastAsia="宋体" w:cs="宋体"/>
                <w:b w:val="0"/>
              </w:rPr>
              <w:t>报告期末基金份额总额</w:t>
            </w:r>
          </w:p>
        </w:tc>
        <w:tc>
          <w:tcPr>
            <w:tcW w:w="0" w:type="dxa"/>
            <w:gridSpan w:val="3"/>
          </w:tcPr>
          <w:p w14:paraId="148A6F83">
            <w:pPr>
              <w:spacing w:line="240" w:lineRule="auto"/>
              <w:jc w:val="left"/>
            </w:pPr>
            <w:r>
              <w:rPr>
                <w:rFonts w:ascii="宋体" w:hAnsi="宋体" w:eastAsia="宋体" w:cs="宋体"/>
                <w:b w:val="0"/>
              </w:rPr>
              <w:t>647,251,658.25份</w:t>
            </w:r>
          </w:p>
        </w:tc>
      </w:tr>
      <w:tr w14:paraId="00019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3" w:type="pct"/>
            <w:vAlign w:val="center"/>
          </w:tcPr>
          <w:p w14:paraId="2DFB8142">
            <w:pPr>
              <w:spacing w:line="240" w:lineRule="auto"/>
              <w:jc w:val="left"/>
            </w:pPr>
            <w:r>
              <w:rPr>
                <w:rFonts w:ascii="宋体" w:hAnsi="宋体" w:eastAsia="宋体" w:cs="宋体"/>
                <w:b w:val="0"/>
              </w:rPr>
              <w:t>投资目标</w:t>
            </w:r>
          </w:p>
        </w:tc>
        <w:tc>
          <w:tcPr>
            <w:tcW w:w="2592" w:type="pct"/>
            <w:gridSpan w:val="3"/>
          </w:tcPr>
          <w:p w14:paraId="381B07F8">
            <w:pPr>
              <w:spacing w:line="240" w:lineRule="auto"/>
              <w:jc w:val="left"/>
            </w:pPr>
            <w:r>
              <w:rPr>
                <w:rFonts w:ascii="宋体" w:hAnsi="宋体" w:eastAsia="宋体" w:cs="宋体"/>
                <w:b w:val="0"/>
              </w:rPr>
              <w:t>在严格控制风险的基础之上，通过深入研究、优选个股、主动的投资管理方式力求实现组合资产的稳健增值。</w:t>
            </w:r>
          </w:p>
        </w:tc>
      </w:tr>
      <w:tr w14:paraId="36A4F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3" w:type="pct"/>
            <w:vAlign w:val="center"/>
          </w:tcPr>
          <w:p w14:paraId="2FFE674B">
            <w:pPr>
              <w:spacing w:line="240" w:lineRule="auto"/>
              <w:jc w:val="left"/>
            </w:pPr>
            <w:r>
              <w:rPr>
                <w:rFonts w:ascii="宋体" w:hAnsi="宋体" w:eastAsia="宋体" w:cs="宋体"/>
                <w:b w:val="0"/>
              </w:rPr>
              <w:t>投资策略</w:t>
            </w:r>
          </w:p>
        </w:tc>
        <w:tc>
          <w:tcPr>
            <w:tcW w:w="0" w:type="dxa"/>
            <w:gridSpan w:val="3"/>
          </w:tcPr>
          <w:p w14:paraId="5E544457">
            <w:pPr>
              <w:spacing w:line="240" w:lineRule="auto"/>
              <w:jc w:val="left"/>
            </w:pPr>
            <w:r>
              <w:rPr>
                <w:rFonts w:ascii="宋体" w:hAnsi="宋体" w:eastAsia="宋体" w:cs="宋体"/>
                <w:b w:val="0"/>
              </w:rPr>
              <w:t>本基金的投资策略主要有以下9个方面内容：</w:t>
            </w:r>
            <w:r>
              <w:rPr>
                <w:rFonts w:ascii="宋体" w:hAnsi="宋体" w:eastAsia="宋体" w:cs="宋体"/>
                <w:b w:val="0"/>
              </w:rPr>
              <w:br w:type="textWrapping"/>
            </w:r>
            <w:r>
              <w:rPr>
                <w:rFonts w:ascii="宋体" w:hAnsi="宋体" w:eastAsia="宋体" w:cs="宋体"/>
                <w:b w:val="0"/>
              </w:rPr>
              <w:t>1、大类资产配置策略</w:t>
            </w:r>
            <w:r>
              <w:rPr>
                <w:rFonts w:ascii="宋体" w:hAnsi="宋体" w:eastAsia="宋体" w:cs="宋体"/>
                <w:b w:val="0"/>
              </w:rPr>
              <w:br w:type="textWrapping"/>
            </w:r>
            <w:r>
              <w:rPr>
                <w:rFonts w:ascii="宋体" w:hAnsi="宋体" w:eastAsia="宋体" w:cs="宋体"/>
                <w:b w:val="0"/>
              </w:rPr>
              <w:t>根据国内外宏观经济情况、国内外证券市场估值水平阶段性不断调整权益类资产和其他资产之间的大类资产配置比例。</w:t>
            </w:r>
            <w:r>
              <w:rPr>
                <w:rFonts w:ascii="宋体" w:hAnsi="宋体" w:eastAsia="宋体" w:cs="宋体"/>
                <w:b w:val="0"/>
              </w:rPr>
              <w:br w:type="textWrapping"/>
            </w:r>
            <w:r>
              <w:rPr>
                <w:rFonts w:ascii="宋体" w:hAnsi="宋体" w:eastAsia="宋体" w:cs="宋体"/>
                <w:b w:val="0"/>
              </w:rPr>
              <w:t>2、个股优选策略</w:t>
            </w:r>
            <w:r>
              <w:rPr>
                <w:rFonts w:ascii="宋体" w:hAnsi="宋体" w:eastAsia="宋体" w:cs="宋体"/>
                <w:b w:val="0"/>
              </w:rPr>
              <w:br w:type="textWrapping"/>
            </w:r>
            <w:r>
              <w:rPr>
                <w:rFonts w:ascii="宋体" w:hAnsi="宋体" w:eastAsia="宋体" w:cs="宋体"/>
                <w:b w:val="0"/>
              </w:rPr>
              <w:t>采用定量分析与定性分析相结合的方式对上市公司进行分析，建立备选股票池，并以备选股票池成份股未来两年的PE衡量动态性价比作为选择其进入投资组合的重要依据。</w:t>
            </w:r>
            <w:r>
              <w:rPr>
                <w:rFonts w:ascii="宋体" w:hAnsi="宋体" w:eastAsia="宋体" w:cs="宋体"/>
                <w:b w:val="0"/>
              </w:rPr>
              <w:br w:type="textWrapping"/>
            </w:r>
            <w:r>
              <w:rPr>
                <w:rFonts w:ascii="宋体" w:hAnsi="宋体" w:eastAsia="宋体" w:cs="宋体"/>
                <w:b w:val="0"/>
              </w:rPr>
              <w:t>3、港股投资策略</w:t>
            </w:r>
            <w:r>
              <w:rPr>
                <w:rFonts w:ascii="宋体" w:hAnsi="宋体" w:eastAsia="宋体" w:cs="宋体"/>
                <w:b w:val="0"/>
              </w:rPr>
              <w:br w:type="textWrapping"/>
            </w:r>
            <w:r>
              <w:rPr>
                <w:rFonts w:ascii="宋体" w:hAnsi="宋体" w:eastAsia="宋体" w:cs="宋体"/>
                <w:b w:val="0"/>
              </w:rPr>
              <w:t>重点关注A股稀缺性行业个股、A股缺乏投资标的行业、具有持续领先优势或核心竞争力的企业、符合内地政策和投资逻辑的主题性行业个股以及与A股同类公司相比具有估值优势的公司。</w:t>
            </w:r>
            <w:r>
              <w:rPr>
                <w:rFonts w:ascii="宋体" w:hAnsi="宋体" w:eastAsia="宋体" w:cs="宋体"/>
                <w:b w:val="0"/>
              </w:rPr>
              <w:br w:type="textWrapping"/>
            </w:r>
            <w:r>
              <w:rPr>
                <w:rFonts w:ascii="宋体" w:hAnsi="宋体" w:eastAsia="宋体" w:cs="宋体"/>
                <w:b w:val="0"/>
              </w:rPr>
              <w:t>4、债券类资产投资策略</w:t>
            </w:r>
            <w:r>
              <w:rPr>
                <w:rFonts w:ascii="宋体" w:hAnsi="宋体" w:eastAsia="宋体" w:cs="宋体"/>
                <w:b w:val="0"/>
              </w:rPr>
              <w:br w:type="textWrapping"/>
            </w:r>
            <w:r>
              <w:rPr>
                <w:rFonts w:ascii="宋体" w:hAnsi="宋体" w:eastAsia="宋体" w:cs="宋体"/>
                <w:b w:val="0"/>
              </w:rPr>
              <w:t>本基金的债券投资将采取较为积极的策略，通过利率预测分析、收益率曲线变动分析、债券信用分析、收益率利差分析等，研判各类属固定收益类资产的风险趋势与收益预期，精选个券进行投资。</w:t>
            </w:r>
            <w:r>
              <w:rPr>
                <w:rFonts w:ascii="宋体" w:hAnsi="宋体" w:eastAsia="宋体" w:cs="宋体"/>
                <w:b w:val="0"/>
              </w:rPr>
              <w:br w:type="textWrapping"/>
            </w:r>
            <w:r>
              <w:rPr>
                <w:rFonts w:ascii="宋体" w:hAnsi="宋体" w:eastAsia="宋体" w:cs="宋体"/>
                <w:b w:val="0"/>
              </w:rPr>
              <w:t>5、存托凭证投资策略</w:t>
            </w:r>
            <w:r>
              <w:rPr>
                <w:rFonts w:ascii="宋体" w:hAnsi="宋体" w:eastAsia="宋体" w:cs="宋体"/>
                <w:b w:val="0"/>
              </w:rPr>
              <w:br w:type="textWrapping"/>
            </w:r>
            <w:r>
              <w:rPr>
                <w:rFonts w:ascii="宋体" w:hAnsi="宋体" w:eastAsia="宋体" w:cs="宋体"/>
                <w:b w:val="0"/>
              </w:rPr>
              <w:t>本基金可投资存托凭证，本基金将在深入研究的基础上，通过定性分析和定量分析相结合的方式，选择投资价值高的存托凭证进行投资。</w:t>
            </w:r>
            <w:r>
              <w:rPr>
                <w:rFonts w:ascii="宋体" w:hAnsi="宋体" w:eastAsia="宋体" w:cs="宋体"/>
                <w:b w:val="0"/>
              </w:rPr>
              <w:br w:type="textWrapping"/>
            </w:r>
            <w:r>
              <w:rPr>
                <w:rFonts w:ascii="宋体" w:hAnsi="宋体" w:eastAsia="宋体" w:cs="宋体"/>
                <w:b w:val="0"/>
              </w:rPr>
              <w:t>6、股指期货投资策略</w:t>
            </w:r>
            <w:r>
              <w:rPr>
                <w:rFonts w:ascii="宋体" w:hAnsi="宋体" w:eastAsia="宋体" w:cs="宋体"/>
                <w:b w:val="0"/>
              </w:rPr>
              <w:br w:type="textWrapping"/>
            </w:r>
            <w:r>
              <w:rPr>
                <w:rFonts w:ascii="宋体" w:hAnsi="宋体" w:eastAsia="宋体" w:cs="宋体"/>
                <w:b w:val="0"/>
              </w:rPr>
              <w:t>以投资组合避险和有效管理为目的，通过套期保值策略，对冲系统性风险，应对组合构建与调整中的流动性风险，力求风险收益的优化。</w:t>
            </w:r>
            <w:r>
              <w:rPr>
                <w:rFonts w:ascii="宋体" w:hAnsi="宋体" w:eastAsia="宋体" w:cs="宋体"/>
                <w:b w:val="0"/>
              </w:rPr>
              <w:br w:type="textWrapping"/>
            </w:r>
            <w:r>
              <w:rPr>
                <w:rFonts w:ascii="宋体" w:hAnsi="宋体" w:eastAsia="宋体" w:cs="宋体"/>
                <w:b w:val="0"/>
              </w:rPr>
              <w:t>7、融资业务的投资策略</w:t>
            </w:r>
            <w:r>
              <w:rPr>
                <w:rFonts w:ascii="宋体" w:hAnsi="宋体" w:eastAsia="宋体" w:cs="宋体"/>
                <w:b w:val="0"/>
              </w:rPr>
              <w:br w:type="textWrapping"/>
            </w:r>
            <w:r>
              <w:rPr>
                <w:rFonts w:ascii="宋体" w:hAnsi="宋体" w:eastAsia="宋体" w:cs="宋体"/>
                <w:b w:val="0"/>
              </w:rPr>
              <w:t>综合考虑融资成本、保证金比例、冲抵保证金证券折算率、信用资质等条选择合适的交易对手方。在保障基金投资组合充足流动性以及有效控制融资杠杆风险的前提下，确定融资比例。</w:t>
            </w:r>
            <w:r>
              <w:rPr>
                <w:rFonts w:ascii="宋体" w:hAnsi="宋体" w:eastAsia="宋体" w:cs="宋体"/>
                <w:b w:val="0"/>
              </w:rPr>
              <w:br w:type="textWrapping"/>
            </w:r>
            <w:r>
              <w:rPr>
                <w:rFonts w:ascii="宋体" w:hAnsi="宋体" w:eastAsia="宋体" w:cs="宋体"/>
                <w:b w:val="0"/>
              </w:rPr>
              <w:t>8、国债期货的投资策略</w:t>
            </w:r>
            <w:r>
              <w:rPr>
                <w:rFonts w:ascii="宋体" w:hAnsi="宋体" w:eastAsia="宋体" w:cs="宋体"/>
                <w:b w:val="0"/>
              </w:rPr>
              <w:br w:type="textWrapping"/>
            </w:r>
            <w:r>
              <w:rPr>
                <w:rFonts w:ascii="宋体" w:hAnsi="宋体" w:eastAsia="宋体" w:cs="宋体"/>
                <w:b w:val="0"/>
              </w:rPr>
              <w:t>结合对宏观经济形势和政策趋势的判断、对债券市场进行定性和定量分析，构建量化分析体系，在最大限度保证基金资产安全的基础上，力求实现所资产的长期稳定增值。</w:t>
            </w:r>
            <w:r>
              <w:rPr>
                <w:rFonts w:ascii="宋体" w:hAnsi="宋体" w:eastAsia="宋体" w:cs="宋体"/>
                <w:b w:val="0"/>
              </w:rPr>
              <w:br w:type="textWrapping"/>
            </w:r>
            <w:r>
              <w:rPr>
                <w:rFonts w:ascii="宋体" w:hAnsi="宋体" w:eastAsia="宋体" w:cs="宋体"/>
                <w:b w:val="0"/>
              </w:rPr>
              <w:t>9、资产支持证券投资策略</w:t>
            </w:r>
            <w:r>
              <w:rPr>
                <w:rFonts w:ascii="宋体" w:hAnsi="宋体" w:eastAsia="宋体" w:cs="宋体"/>
                <w:b w:val="0"/>
              </w:rPr>
              <w:br w:type="textWrapping"/>
            </w:r>
            <w:r>
              <w:rPr>
                <w:rFonts w:ascii="宋体" w:hAnsi="宋体" w:eastAsia="宋体" w:cs="宋体"/>
                <w:b w:val="0"/>
              </w:rPr>
              <w:t>通过对宏观经济、提前偿还率、资产池结构、行业景气变化、标的证券发行条款等因素的研究，预测资产池未来现金流变化，结合信用研究和流动性管理，选择风险调整后收益高的品种进行投资，以期获得长期稳定收益。</w:t>
            </w:r>
          </w:p>
        </w:tc>
      </w:tr>
      <w:tr w14:paraId="0D1B8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3" w:type="pct"/>
            <w:vAlign w:val="center"/>
          </w:tcPr>
          <w:p w14:paraId="17213BA9">
            <w:pPr>
              <w:spacing w:line="240" w:lineRule="auto"/>
              <w:jc w:val="left"/>
            </w:pPr>
            <w:r>
              <w:rPr>
                <w:rFonts w:ascii="宋体" w:hAnsi="宋体" w:eastAsia="宋体" w:cs="宋体"/>
                <w:b w:val="0"/>
              </w:rPr>
              <w:t>业绩比较基准</w:t>
            </w:r>
          </w:p>
        </w:tc>
        <w:tc>
          <w:tcPr>
            <w:tcW w:w="0" w:type="dxa"/>
            <w:gridSpan w:val="3"/>
          </w:tcPr>
          <w:p w14:paraId="32553ADF">
            <w:pPr>
              <w:spacing w:line="240" w:lineRule="auto"/>
              <w:jc w:val="left"/>
            </w:pPr>
            <w:r>
              <w:rPr>
                <w:rFonts w:ascii="宋体" w:hAnsi="宋体" w:eastAsia="宋体" w:cs="宋体"/>
                <w:b w:val="0"/>
              </w:rPr>
              <w:t>中证800指数收益率×80%+中证综合债券指数收益率×10%+恒生指数收益率×10%</w:t>
            </w:r>
          </w:p>
        </w:tc>
      </w:tr>
      <w:tr w14:paraId="5E146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3" w:type="pct"/>
            <w:vAlign w:val="center"/>
          </w:tcPr>
          <w:p w14:paraId="0258B639">
            <w:pPr>
              <w:spacing w:line="240" w:lineRule="auto"/>
              <w:jc w:val="left"/>
            </w:pPr>
            <w:r>
              <w:rPr>
                <w:rFonts w:ascii="宋体" w:hAnsi="宋体" w:eastAsia="宋体" w:cs="宋体"/>
                <w:b w:val="0"/>
              </w:rPr>
              <w:t>风险收益特征</w:t>
            </w:r>
          </w:p>
        </w:tc>
        <w:tc>
          <w:tcPr>
            <w:tcW w:w="2592" w:type="pct"/>
            <w:gridSpan w:val="3"/>
          </w:tcPr>
          <w:p w14:paraId="3CC66C29">
            <w:pPr>
              <w:spacing w:line="240" w:lineRule="auto"/>
              <w:jc w:val="left"/>
            </w:pPr>
            <w:r>
              <w:rPr>
                <w:rFonts w:ascii="宋体" w:hAnsi="宋体" w:eastAsia="宋体" w:cs="宋体"/>
                <w:b w:val="0"/>
              </w:rPr>
              <w:t>本基金为混合型基金，其预期风险和预期收益高于债券型基金、货币市场基金。本基金如果投资港股通标的股票，需承担汇率风险以及境外市场的风险。</w:t>
            </w:r>
          </w:p>
        </w:tc>
      </w:tr>
      <w:tr w14:paraId="427AF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3" w:type="pct"/>
          </w:tcPr>
          <w:p w14:paraId="6F68C14B">
            <w:pPr>
              <w:spacing w:line="240" w:lineRule="auto"/>
              <w:jc w:val="left"/>
            </w:pPr>
            <w:r>
              <w:rPr>
                <w:rFonts w:ascii="宋体" w:hAnsi="宋体" w:eastAsia="宋体" w:cs="宋体"/>
                <w:b w:val="0"/>
              </w:rPr>
              <w:t>基金管理人</w:t>
            </w:r>
          </w:p>
        </w:tc>
        <w:tc>
          <w:tcPr>
            <w:tcW w:w="0" w:type="dxa"/>
            <w:gridSpan w:val="3"/>
          </w:tcPr>
          <w:p w14:paraId="3BD976F7">
            <w:pPr>
              <w:spacing w:line="240" w:lineRule="auto"/>
              <w:jc w:val="left"/>
            </w:pPr>
            <w:r>
              <w:rPr>
                <w:rFonts w:ascii="宋体" w:hAnsi="宋体" w:eastAsia="宋体" w:cs="宋体"/>
                <w:b w:val="0"/>
              </w:rPr>
              <w:t>东方阿尔法基金管理有限公司</w:t>
            </w:r>
          </w:p>
        </w:tc>
      </w:tr>
      <w:tr w14:paraId="1390C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3" w:type="pct"/>
          </w:tcPr>
          <w:p w14:paraId="0E0FE0B1">
            <w:pPr>
              <w:spacing w:line="240" w:lineRule="auto"/>
              <w:jc w:val="left"/>
            </w:pPr>
            <w:r>
              <w:rPr>
                <w:rFonts w:ascii="宋体" w:hAnsi="宋体" w:eastAsia="宋体" w:cs="宋体"/>
                <w:b w:val="0"/>
              </w:rPr>
              <w:t>基金托管人</w:t>
            </w:r>
          </w:p>
        </w:tc>
        <w:tc>
          <w:tcPr>
            <w:tcW w:w="0" w:type="dxa"/>
            <w:gridSpan w:val="3"/>
          </w:tcPr>
          <w:p w14:paraId="6130FCEB">
            <w:pPr>
              <w:spacing w:line="240" w:lineRule="auto"/>
              <w:jc w:val="left"/>
            </w:pPr>
            <w:r>
              <w:rPr>
                <w:rFonts w:ascii="宋体" w:hAnsi="宋体" w:eastAsia="宋体" w:cs="宋体"/>
                <w:b w:val="0"/>
              </w:rPr>
              <w:t>招商银行股份有限公司</w:t>
            </w:r>
          </w:p>
        </w:tc>
      </w:tr>
      <w:tr w14:paraId="75D01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BA62A63">
            <w:pPr>
              <w:spacing w:line="240" w:lineRule="auto"/>
              <w:jc w:val="left"/>
            </w:pPr>
            <w:r>
              <w:rPr>
                <w:rFonts w:ascii="宋体" w:hAnsi="宋体" w:eastAsia="宋体" w:cs="宋体"/>
                <w:b w:val="0"/>
              </w:rPr>
              <w:t>下属分级基金的基金简称</w:t>
            </w:r>
          </w:p>
        </w:tc>
        <w:tc>
          <w:tcPr>
            <w:tcW w:w="1000" w:type="pct"/>
          </w:tcPr>
          <w:p w14:paraId="5AEA300A">
            <w:pPr>
              <w:spacing w:line="240" w:lineRule="auto"/>
              <w:jc w:val="left"/>
            </w:pPr>
            <w:r>
              <w:rPr>
                <w:rFonts w:ascii="宋体" w:hAnsi="宋体" w:eastAsia="宋体" w:cs="宋体"/>
                <w:b w:val="0"/>
              </w:rPr>
              <w:t>东方阿尔法招阳混合A</w:t>
            </w:r>
          </w:p>
        </w:tc>
        <w:tc>
          <w:tcPr>
            <w:tcW w:w="1000" w:type="pct"/>
          </w:tcPr>
          <w:p w14:paraId="441D1AE3">
            <w:pPr>
              <w:spacing w:line="240" w:lineRule="auto"/>
              <w:jc w:val="left"/>
            </w:pPr>
            <w:r>
              <w:rPr>
                <w:rFonts w:ascii="宋体" w:hAnsi="宋体" w:eastAsia="宋体" w:cs="宋体"/>
                <w:b w:val="0"/>
              </w:rPr>
              <w:t>东方阿尔法招阳混合C</w:t>
            </w:r>
          </w:p>
        </w:tc>
        <w:tc>
          <w:tcPr>
            <w:tcW w:w="1000" w:type="pct"/>
          </w:tcPr>
          <w:p w14:paraId="6DC2E9AF">
            <w:pPr>
              <w:spacing w:line="240" w:lineRule="auto"/>
              <w:jc w:val="left"/>
            </w:pPr>
            <w:r>
              <w:rPr>
                <w:rFonts w:ascii="宋体" w:hAnsi="宋体" w:eastAsia="宋体" w:cs="宋体"/>
                <w:b w:val="0"/>
              </w:rPr>
              <w:t>东方阿尔法招阳混合E</w:t>
            </w:r>
          </w:p>
        </w:tc>
      </w:tr>
      <w:tr w14:paraId="58694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97C17BF">
            <w:pPr>
              <w:spacing w:line="240" w:lineRule="auto"/>
              <w:jc w:val="left"/>
            </w:pPr>
            <w:r>
              <w:rPr>
                <w:rFonts w:ascii="宋体" w:hAnsi="宋体" w:eastAsia="宋体" w:cs="宋体"/>
                <w:b w:val="0"/>
              </w:rPr>
              <w:t>下属分级基金的交易代码</w:t>
            </w:r>
          </w:p>
        </w:tc>
        <w:tc>
          <w:tcPr>
            <w:tcW w:w="1000" w:type="pct"/>
          </w:tcPr>
          <w:p w14:paraId="4F52E971">
            <w:pPr>
              <w:spacing w:line="240" w:lineRule="auto"/>
              <w:jc w:val="left"/>
            </w:pPr>
            <w:r>
              <w:rPr>
                <w:rFonts w:ascii="宋体" w:hAnsi="宋体" w:eastAsia="宋体" w:cs="宋体"/>
                <w:b w:val="0"/>
              </w:rPr>
              <w:t>011184</w:t>
            </w:r>
          </w:p>
        </w:tc>
        <w:tc>
          <w:tcPr>
            <w:tcW w:w="1000" w:type="pct"/>
          </w:tcPr>
          <w:p w14:paraId="225CABE3">
            <w:pPr>
              <w:spacing w:line="240" w:lineRule="auto"/>
              <w:jc w:val="left"/>
            </w:pPr>
            <w:r>
              <w:rPr>
                <w:rFonts w:ascii="宋体" w:hAnsi="宋体" w:eastAsia="宋体" w:cs="宋体"/>
                <w:b w:val="0"/>
              </w:rPr>
              <w:t>011185</w:t>
            </w:r>
          </w:p>
        </w:tc>
        <w:tc>
          <w:tcPr>
            <w:tcW w:w="1000" w:type="pct"/>
          </w:tcPr>
          <w:p w14:paraId="4665638C">
            <w:pPr>
              <w:spacing w:line="240" w:lineRule="auto"/>
              <w:jc w:val="left"/>
            </w:pPr>
            <w:r>
              <w:rPr>
                <w:rFonts w:ascii="宋体" w:hAnsi="宋体" w:eastAsia="宋体" w:cs="宋体"/>
                <w:b w:val="0"/>
              </w:rPr>
              <w:t>017889</w:t>
            </w:r>
          </w:p>
        </w:tc>
      </w:tr>
      <w:tr w14:paraId="74101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EBDCDF8">
            <w:pPr>
              <w:spacing w:line="240" w:lineRule="auto"/>
              <w:jc w:val="left"/>
            </w:pPr>
            <w:r>
              <w:rPr>
                <w:rFonts w:ascii="宋体" w:hAnsi="宋体" w:eastAsia="宋体" w:cs="宋体"/>
                <w:b w:val="0"/>
              </w:rPr>
              <w:t>报告期末下属分级基金的份额总额</w:t>
            </w:r>
          </w:p>
        </w:tc>
        <w:tc>
          <w:tcPr>
            <w:tcW w:w="1000" w:type="pct"/>
          </w:tcPr>
          <w:p w14:paraId="755406A3">
            <w:pPr>
              <w:spacing w:line="240" w:lineRule="auto"/>
              <w:jc w:val="left"/>
            </w:pPr>
            <w:r>
              <w:rPr>
                <w:rFonts w:ascii="宋体" w:hAnsi="宋体" w:eastAsia="宋体" w:cs="宋体"/>
                <w:b w:val="0"/>
              </w:rPr>
              <w:t>634,822,128.51份</w:t>
            </w:r>
          </w:p>
        </w:tc>
        <w:tc>
          <w:tcPr>
            <w:tcW w:w="1000" w:type="pct"/>
          </w:tcPr>
          <w:p w14:paraId="4215110F">
            <w:pPr>
              <w:spacing w:line="240" w:lineRule="auto"/>
              <w:jc w:val="left"/>
            </w:pPr>
            <w:r>
              <w:rPr>
                <w:rFonts w:ascii="宋体" w:hAnsi="宋体" w:eastAsia="宋体" w:cs="宋体"/>
                <w:b w:val="0"/>
              </w:rPr>
              <w:t>8,837,452.66份</w:t>
            </w:r>
          </w:p>
        </w:tc>
        <w:tc>
          <w:tcPr>
            <w:tcW w:w="1000" w:type="pct"/>
          </w:tcPr>
          <w:p w14:paraId="760400F0">
            <w:pPr>
              <w:spacing w:line="240" w:lineRule="auto"/>
              <w:jc w:val="left"/>
            </w:pPr>
            <w:r>
              <w:rPr>
                <w:rFonts w:ascii="宋体" w:hAnsi="宋体" w:eastAsia="宋体" w:cs="宋体"/>
                <w:b w:val="0"/>
              </w:rPr>
              <w:t>3,592,077.08份</w:t>
            </w:r>
          </w:p>
        </w:tc>
      </w:tr>
    </w:tbl>
    <w:p w14:paraId="702F9F38">
      <w:pPr>
        <w:pStyle w:val="2"/>
        <w:jc w:val="center"/>
      </w:pPr>
      <w:r>
        <w:rPr>
          <w:rFonts w:ascii="宋体" w:hAnsi="宋体" w:eastAsia="宋体" w:cs="宋体"/>
        </w:rPr>
        <w:t>§3 主要财务指标和基金净值表现</w:t>
      </w:r>
    </w:p>
    <w:p w14:paraId="72C09CC5">
      <w:pPr>
        <w:pStyle w:val="3"/>
        <w:jc w:val="left"/>
      </w:pPr>
      <w:r>
        <w:rPr>
          <w:rFonts w:ascii="宋体" w:hAnsi="宋体" w:eastAsia="宋体" w:cs="宋体"/>
        </w:rPr>
        <w:t>3.1 主要财务指标</w:t>
      </w:r>
    </w:p>
    <w:p w14:paraId="5DD6258F">
      <w:pPr>
        <w:jc w:val="right"/>
      </w:pPr>
      <w:r>
        <w:rPr>
          <w:rFonts w:ascii="宋体" w:hAnsi="宋体" w:eastAsia="宋体" w:cs="宋体"/>
          <w:b w:val="0"/>
        </w:rPr>
        <w:t>单位：人民币元</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71"/>
        <w:gridCol w:w="1857"/>
        <w:gridCol w:w="1857"/>
        <w:gridCol w:w="2001"/>
      </w:tblGrid>
      <w:tr w14:paraId="57F31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3" w:type="pct"/>
            <w:vMerge w:val="restart"/>
            <w:shd w:val="clear" w:color="auto" w:fill="D9D9D9"/>
            <w:vAlign w:val="center"/>
          </w:tcPr>
          <w:p w14:paraId="38186B7B">
            <w:pPr>
              <w:spacing w:line="240" w:lineRule="auto"/>
              <w:jc w:val="center"/>
            </w:pPr>
            <w:r>
              <w:rPr>
                <w:rFonts w:ascii="宋体" w:hAnsi="宋体" w:eastAsia="宋体" w:cs="宋体"/>
                <w:b/>
              </w:rPr>
              <w:t>主要财务指标</w:t>
            </w:r>
          </w:p>
        </w:tc>
        <w:tc>
          <w:tcPr>
            <w:tcW w:w="3077" w:type="pct"/>
            <w:gridSpan w:val="3"/>
            <w:shd w:val="clear" w:color="auto" w:fill="D9D9D9"/>
          </w:tcPr>
          <w:p w14:paraId="14D137BA">
            <w:pPr>
              <w:spacing w:line="240" w:lineRule="auto"/>
              <w:jc w:val="center"/>
            </w:pPr>
            <w:r>
              <w:rPr>
                <w:rFonts w:ascii="宋体" w:hAnsi="宋体" w:eastAsia="宋体" w:cs="宋体"/>
                <w:b w:val="0"/>
              </w:rPr>
              <w:t>报告期（2025年04月01日-2025年06月30日）</w:t>
            </w:r>
          </w:p>
        </w:tc>
      </w:tr>
      <w:tr w14:paraId="1A8AE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vMerge w:val="continue"/>
          </w:tcPr>
          <w:p w14:paraId="5258FED8"/>
        </w:tc>
        <w:tc>
          <w:tcPr>
            <w:tcW w:w="1000" w:type="pct"/>
            <w:shd w:val="clear" w:color="auto" w:fill="D9D9D9"/>
          </w:tcPr>
          <w:p w14:paraId="3DA0BD03">
            <w:pPr>
              <w:spacing w:line="240" w:lineRule="auto"/>
              <w:jc w:val="center"/>
            </w:pPr>
            <w:r>
              <w:rPr>
                <w:rFonts w:ascii="宋体" w:hAnsi="宋体" w:eastAsia="宋体" w:cs="宋体"/>
                <w:b w:val="0"/>
              </w:rPr>
              <w:t>东方阿尔法招阳混合A</w:t>
            </w:r>
          </w:p>
        </w:tc>
        <w:tc>
          <w:tcPr>
            <w:tcW w:w="1000" w:type="pct"/>
            <w:shd w:val="clear" w:color="auto" w:fill="D9D9D9"/>
          </w:tcPr>
          <w:p w14:paraId="3C6ECC3C">
            <w:pPr>
              <w:spacing w:line="240" w:lineRule="auto"/>
              <w:jc w:val="center"/>
            </w:pPr>
            <w:r>
              <w:rPr>
                <w:rFonts w:ascii="宋体" w:hAnsi="宋体" w:eastAsia="宋体" w:cs="宋体"/>
                <w:b w:val="0"/>
              </w:rPr>
              <w:t>东方阿尔法招阳混合C</w:t>
            </w:r>
          </w:p>
        </w:tc>
        <w:tc>
          <w:tcPr>
            <w:tcW w:w="1000" w:type="pct"/>
            <w:shd w:val="clear" w:color="auto" w:fill="D9D9D9"/>
          </w:tcPr>
          <w:p w14:paraId="061AA55E">
            <w:pPr>
              <w:spacing w:line="240" w:lineRule="auto"/>
              <w:jc w:val="center"/>
            </w:pPr>
            <w:r>
              <w:rPr>
                <w:rFonts w:ascii="宋体" w:hAnsi="宋体" w:eastAsia="宋体" w:cs="宋体"/>
                <w:b w:val="0"/>
              </w:rPr>
              <w:t>东方阿尔法招阳混合E</w:t>
            </w:r>
          </w:p>
        </w:tc>
      </w:tr>
      <w:tr w14:paraId="532AB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D41D04E">
            <w:pPr>
              <w:spacing w:line="240" w:lineRule="auto"/>
              <w:jc w:val="left"/>
            </w:pPr>
            <w:r>
              <w:rPr>
                <w:rFonts w:ascii="宋体" w:hAnsi="宋体" w:eastAsia="宋体" w:cs="宋体"/>
                <w:b w:val="0"/>
              </w:rPr>
              <w:t>1.本期已实现收益</w:t>
            </w:r>
          </w:p>
        </w:tc>
        <w:tc>
          <w:tcPr>
            <w:tcW w:w="1000" w:type="pct"/>
          </w:tcPr>
          <w:p w14:paraId="7939065F">
            <w:pPr>
              <w:spacing w:line="240" w:lineRule="auto"/>
              <w:jc w:val="right"/>
            </w:pPr>
            <w:r>
              <w:rPr>
                <w:rFonts w:ascii="宋体" w:hAnsi="宋体" w:eastAsia="宋体" w:cs="宋体"/>
                <w:b w:val="0"/>
              </w:rPr>
              <w:t>-788,346.15</w:t>
            </w:r>
          </w:p>
        </w:tc>
        <w:tc>
          <w:tcPr>
            <w:tcW w:w="1000" w:type="pct"/>
          </w:tcPr>
          <w:p w14:paraId="58F9EED7">
            <w:pPr>
              <w:spacing w:line="240" w:lineRule="auto"/>
              <w:jc w:val="right"/>
            </w:pPr>
            <w:r>
              <w:rPr>
                <w:rFonts w:ascii="宋体" w:hAnsi="宋体" w:eastAsia="宋体" w:cs="宋体"/>
                <w:b w:val="0"/>
              </w:rPr>
              <w:t>-19,077.06</w:t>
            </w:r>
          </w:p>
        </w:tc>
        <w:tc>
          <w:tcPr>
            <w:tcW w:w="1000" w:type="pct"/>
          </w:tcPr>
          <w:p w14:paraId="6951DA5D">
            <w:pPr>
              <w:spacing w:line="240" w:lineRule="auto"/>
              <w:jc w:val="right"/>
            </w:pPr>
            <w:r>
              <w:rPr>
                <w:rFonts w:ascii="宋体" w:hAnsi="宋体" w:eastAsia="宋体" w:cs="宋体"/>
                <w:b w:val="0"/>
              </w:rPr>
              <w:t>-6,053.84</w:t>
            </w:r>
          </w:p>
        </w:tc>
      </w:tr>
      <w:tr w14:paraId="4FCD2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24A1ACA">
            <w:pPr>
              <w:spacing w:line="240" w:lineRule="auto"/>
              <w:jc w:val="left"/>
            </w:pPr>
            <w:r>
              <w:rPr>
                <w:rFonts w:ascii="宋体" w:hAnsi="宋体" w:eastAsia="宋体" w:cs="宋体"/>
                <w:b w:val="0"/>
              </w:rPr>
              <w:t>2.本期利润</w:t>
            </w:r>
          </w:p>
        </w:tc>
        <w:tc>
          <w:tcPr>
            <w:tcW w:w="1000" w:type="pct"/>
          </w:tcPr>
          <w:p w14:paraId="61731832">
            <w:pPr>
              <w:spacing w:line="240" w:lineRule="auto"/>
              <w:jc w:val="right"/>
            </w:pPr>
            <w:r>
              <w:rPr>
                <w:rFonts w:ascii="宋体" w:hAnsi="宋体" w:eastAsia="宋体" w:cs="宋体"/>
                <w:b w:val="0"/>
              </w:rPr>
              <w:t>22,869,853.62</w:t>
            </w:r>
          </w:p>
        </w:tc>
        <w:tc>
          <w:tcPr>
            <w:tcW w:w="1000" w:type="pct"/>
          </w:tcPr>
          <w:p w14:paraId="6BE8948C">
            <w:pPr>
              <w:spacing w:line="240" w:lineRule="auto"/>
              <w:jc w:val="right"/>
            </w:pPr>
            <w:r>
              <w:rPr>
                <w:rFonts w:ascii="宋体" w:hAnsi="宋体" w:eastAsia="宋体" w:cs="宋体"/>
                <w:b w:val="0"/>
              </w:rPr>
              <w:t>297,167.12</w:t>
            </w:r>
          </w:p>
        </w:tc>
        <w:tc>
          <w:tcPr>
            <w:tcW w:w="1000" w:type="pct"/>
          </w:tcPr>
          <w:p w14:paraId="231B3E69">
            <w:pPr>
              <w:spacing w:line="240" w:lineRule="auto"/>
              <w:jc w:val="right"/>
            </w:pPr>
            <w:r>
              <w:rPr>
                <w:rFonts w:ascii="宋体" w:hAnsi="宋体" w:eastAsia="宋体" w:cs="宋体"/>
                <w:b w:val="0"/>
              </w:rPr>
              <w:t>136,694.82</w:t>
            </w:r>
          </w:p>
        </w:tc>
      </w:tr>
      <w:tr w14:paraId="010AD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FAED471">
            <w:pPr>
              <w:spacing w:line="240" w:lineRule="auto"/>
              <w:jc w:val="left"/>
            </w:pPr>
            <w:r>
              <w:rPr>
                <w:rFonts w:ascii="宋体" w:hAnsi="宋体" w:eastAsia="宋体" w:cs="宋体"/>
                <w:b w:val="0"/>
              </w:rPr>
              <w:t>3.加权平均基金份额本期利润</w:t>
            </w:r>
          </w:p>
        </w:tc>
        <w:tc>
          <w:tcPr>
            <w:tcW w:w="1000" w:type="pct"/>
          </w:tcPr>
          <w:p w14:paraId="3B5B790B">
            <w:pPr>
              <w:spacing w:line="240" w:lineRule="auto"/>
              <w:jc w:val="right"/>
            </w:pPr>
            <w:r>
              <w:rPr>
                <w:rFonts w:ascii="宋体" w:hAnsi="宋体" w:eastAsia="宋体" w:cs="宋体"/>
                <w:b w:val="0"/>
              </w:rPr>
              <w:t>0.0354</w:t>
            </w:r>
          </w:p>
        </w:tc>
        <w:tc>
          <w:tcPr>
            <w:tcW w:w="1000" w:type="pct"/>
          </w:tcPr>
          <w:p w14:paraId="541C2727">
            <w:pPr>
              <w:spacing w:line="240" w:lineRule="auto"/>
              <w:jc w:val="right"/>
            </w:pPr>
            <w:r>
              <w:rPr>
                <w:rFonts w:ascii="宋体" w:hAnsi="宋体" w:eastAsia="宋体" w:cs="宋体"/>
                <w:b w:val="0"/>
              </w:rPr>
              <w:t>0.0325</w:t>
            </w:r>
          </w:p>
        </w:tc>
        <w:tc>
          <w:tcPr>
            <w:tcW w:w="1000" w:type="pct"/>
          </w:tcPr>
          <w:p w14:paraId="00FF4EA2">
            <w:pPr>
              <w:spacing w:line="240" w:lineRule="auto"/>
              <w:jc w:val="right"/>
            </w:pPr>
            <w:r>
              <w:rPr>
                <w:rFonts w:ascii="宋体" w:hAnsi="宋体" w:eastAsia="宋体" w:cs="宋体"/>
                <w:b w:val="0"/>
              </w:rPr>
              <w:t>0.0391</w:t>
            </w:r>
          </w:p>
        </w:tc>
      </w:tr>
      <w:tr w14:paraId="0ADA0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A87A8BB">
            <w:pPr>
              <w:spacing w:line="240" w:lineRule="auto"/>
              <w:jc w:val="left"/>
            </w:pPr>
            <w:r>
              <w:rPr>
                <w:rFonts w:ascii="宋体" w:hAnsi="宋体" w:eastAsia="宋体" w:cs="宋体"/>
                <w:b w:val="0"/>
              </w:rPr>
              <w:t>4.期末基金资产净值</w:t>
            </w:r>
          </w:p>
        </w:tc>
        <w:tc>
          <w:tcPr>
            <w:tcW w:w="1000" w:type="pct"/>
          </w:tcPr>
          <w:p w14:paraId="654CD1A5">
            <w:pPr>
              <w:spacing w:line="240" w:lineRule="auto"/>
              <w:jc w:val="right"/>
            </w:pPr>
            <w:r>
              <w:rPr>
                <w:rFonts w:ascii="宋体" w:hAnsi="宋体" w:eastAsia="宋体" w:cs="宋体"/>
                <w:b w:val="0"/>
              </w:rPr>
              <w:t>315,827,505.48</w:t>
            </w:r>
          </w:p>
        </w:tc>
        <w:tc>
          <w:tcPr>
            <w:tcW w:w="1000" w:type="pct"/>
          </w:tcPr>
          <w:p w14:paraId="76A7A065">
            <w:pPr>
              <w:spacing w:line="240" w:lineRule="auto"/>
              <w:jc w:val="right"/>
            </w:pPr>
            <w:r>
              <w:rPr>
                <w:rFonts w:ascii="宋体" w:hAnsi="宋体" w:eastAsia="宋体" w:cs="宋体"/>
                <w:b w:val="0"/>
              </w:rPr>
              <w:t>4,183,205.04</w:t>
            </w:r>
          </w:p>
        </w:tc>
        <w:tc>
          <w:tcPr>
            <w:tcW w:w="1000" w:type="pct"/>
          </w:tcPr>
          <w:p w14:paraId="5A2C56F0">
            <w:pPr>
              <w:spacing w:line="240" w:lineRule="auto"/>
              <w:jc w:val="right"/>
            </w:pPr>
            <w:r>
              <w:rPr>
                <w:rFonts w:ascii="宋体" w:hAnsi="宋体" w:eastAsia="宋体" w:cs="宋体"/>
                <w:b w:val="0"/>
              </w:rPr>
              <w:t>1,768,019.15</w:t>
            </w:r>
          </w:p>
        </w:tc>
      </w:tr>
      <w:tr w14:paraId="0ADCD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45F93FD">
            <w:pPr>
              <w:spacing w:line="240" w:lineRule="auto"/>
              <w:jc w:val="left"/>
            </w:pPr>
            <w:r>
              <w:rPr>
                <w:rFonts w:ascii="宋体" w:hAnsi="宋体" w:eastAsia="宋体" w:cs="宋体"/>
                <w:b w:val="0"/>
              </w:rPr>
              <w:t>5.期末基金份额净值</w:t>
            </w:r>
          </w:p>
        </w:tc>
        <w:tc>
          <w:tcPr>
            <w:tcW w:w="1000" w:type="pct"/>
          </w:tcPr>
          <w:p w14:paraId="5EAB5019">
            <w:pPr>
              <w:spacing w:line="240" w:lineRule="auto"/>
              <w:jc w:val="right"/>
            </w:pPr>
            <w:r>
              <w:rPr>
                <w:rFonts w:ascii="宋体" w:hAnsi="宋体" w:eastAsia="宋体" w:cs="宋体"/>
                <w:b w:val="0"/>
              </w:rPr>
              <w:t>0.4975</w:t>
            </w:r>
          </w:p>
        </w:tc>
        <w:tc>
          <w:tcPr>
            <w:tcW w:w="1000" w:type="pct"/>
          </w:tcPr>
          <w:p w14:paraId="2CB3EAE0">
            <w:pPr>
              <w:spacing w:line="240" w:lineRule="auto"/>
              <w:jc w:val="right"/>
            </w:pPr>
            <w:r>
              <w:rPr>
                <w:rFonts w:ascii="宋体" w:hAnsi="宋体" w:eastAsia="宋体" w:cs="宋体"/>
                <w:b w:val="0"/>
              </w:rPr>
              <w:t>0.4733</w:t>
            </w:r>
          </w:p>
        </w:tc>
        <w:tc>
          <w:tcPr>
            <w:tcW w:w="1000" w:type="pct"/>
          </w:tcPr>
          <w:p w14:paraId="7140AD09">
            <w:pPr>
              <w:spacing w:line="240" w:lineRule="auto"/>
              <w:jc w:val="right"/>
            </w:pPr>
            <w:r>
              <w:rPr>
                <w:rFonts w:ascii="宋体" w:hAnsi="宋体" w:eastAsia="宋体" w:cs="宋体"/>
                <w:b w:val="0"/>
              </w:rPr>
              <w:t>0.4922</w:t>
            </w:r>
          </w:p>
        </w:tc>
      </w:tr>
    </w:tbl>
    <w:p w14:paraId="2EACC1CA">
      <w:r>
        <w:rPr>
          <w:rFonts w:ascii="宋体" w:hAnsi="宋体" w:eastAsia="宋体" w:cs="宋体"/>
          <w:b w:val="0"/>
        </w:rPr>
        <w:t>注：1、本期已实现收益指基金本期利息收入、投资收益、其他收入(不含公允价值变动收益)扣除相关费用后的余额，本期利润为本期已实现收益加上本期公允价值变动收益。</w:t>
      </w:r>
      <w:r>
        <w:rPr>
          <w:rFonts w:ascii="宋体" w:hAnsi="宋体" w:eastAsia="宋体" w:cs="宋体"/>
          <w:b w:val="0"/>
        </w:rPr>
        <w:cr/>
      </w:r>
      <w:r>
        <w:rPr>
          <w:rFonts w:ascii="宋体" w:hAnsi="宋体" w:eastAsia="宋体" w:cs="宋体"/>
          <w:b w:val="0"/>
        </w:rPr>
        <w:t>2、所述基金业绩指标不包括持有人认购或交易基金的各项费用，计入费用后实际收益水平要低于所列数字。</w:t>
      </w:r>
    </w:p>
    <w:p w14:paraId="7B8B9193"/>
    <w:p w14:paraId="7F36BBCA">
      <w:pPr>
        <w:pStyle w:val="3"/>
        <w:jc w:val="left"/>
      </w:pPr>
      <w:r>
        <w:rPr>
          <w:rFonts w:ascii="宋体" w:hAnsi="宋体" w:eastAsia="宋体" w:cs="宋体"/>
        </w:rPr>
        <w:t>3.2 基金净值表现</w:t>
      </w:r>
    </w:p>
    <w:p w14:paraId="4DD70339">
      <w:r>
        <w:rPr>
          <w:rFonts w:ascii="宋体" w:hAnsi="宋体" w:eastAsia="宋体" w:cs="宋体"/>
          <w:b/>
        </w:rPr>
        <w:t>3.2.1 基金份额净值增长率及其与同期业绩比较基准收益率的比较</w:t>
      </w:r>
    </w:p>
    <w:p w14:paraId="6905C266">
      <w:pPr>
        <w:jc w:val="left"/>
      </w:pPr>
      <w:r>
        <w:rPr>
          <w:rFonts w:ascii="宋体" w:hAnsi="宋体" w:eastAsia="宋体" w:cs="宋体"/>
          <w:b/>
        </w:rPr>
        <w:t>东方阿尔法招阳混合A净值表现</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71"/>
        <w:gridCol w:w="1285"/>
        <w:gridCol w:w="1286"/>
        <w:gridCol w:w="1286"/>
        <w:gridCol w:w="1286"/>
        <w:gridCol w:w="1286"/>
        <w:gridCol w:w="1286"/>
      </w:tblGrid>
      <w:tr w14:paraId="5C638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pct"/>
            <w:shd w:val="clear" w:color="auto" w:fill="D9D9D9"/>
            <w:vAlign w:val="center"/>
          </w:tcPr>
          <w:p w14:paraId="367C7DE1">
            <w:pPr>
              <w:spacing w:line="240" w:lineRule="auto"/>
              <w:jc w:val="center"/>
            </w:pPr>
            <w:r>
              <w:rPr>
                <w:rFonts w:ascii="宋体" w:hAnsi="宋体" w:eastAsia="宋体" w:cs="宋体"/>
                <w:b w:val="0"/>
              </w:rPr>
              <w:t>阶段</w:t>
            </w:r>
          </w:p>
        </w:tc>
        <w:tc>
          <w:tcPr>
            <w:tcW w:w="692" w:type="pct"/>
            <w:shd w:val="clear" w:color="auto" w:fill="D9D9D9"/>
            <w:vAlign w:val="center"/>
          </w:tcPr>
          <w:p w14:paraId="1A78F12F">
            <w:pPr>
              <w:spacing w:line="240" w:lineRule="auto"/>
              <w:jc w:val="center"/>
            </w:pPr>
            <w:r>
              <w:rPr>
                <w:rFonts w:ascii="宋体" w:hAnsi="宋体" w:eastAsia="宋体" w:cs="宋体"/>
                <w:b w:val="0"/>
              </w:rPr>
              <w:t>净值增长率①</w:t>
            </w:r>
          </w:p>
        </w:tc>
        <w:tc>
          <w:tcPr>
            <w:tcW w:w="692" w:type="pct"/>
            <w:shd w:val="clear" w:color="auto" w:fill="D9D9D9"/>
            <w:vAlign w:val="center"/>
          </w:tcPr>
          <w:p w14:paraId="474563ED">
            <w:pPr>
              <w:spacing w:line="240" w:lineRule="auto"/>
              <w:jc w:val="center"/>
            </w:pPr>
            <w:r>
              <w:rPr>
                <w:rFonts w:ascii="宋体" w:hAnsi="宋体" w:eastAsia="宋体" w:cs="宋体"/>
                <w:b w:val="0"/>
              </w:rPr>
              <w:t>净值增长率标准差②</w:t>
            </w:r>
          </w:p>
        </w:tc>
        <w:tc>
          <w:tcPr>
            <w:tcW w:w="692" w:type="pct"/>
            <w:shd w:val="clear" w:color="auto" w:fill="D9D9D9"/>
            <w:vAlign w:val="center"/>
          </w:tcPr>
          <w:p w14:paraId="66A6AB77">
            <w:pPr>
              <w:spacing w:line="240" w:lineRule="auto"/>
              <w:jc w:val="center"/>
            </w:pPr>
            <w:r>
              <w:rPr>
                <w:rFonts w:ascii="宋体" w:hAnsi="宋体" w:eastAsia="宋体" w:cs="宋体"/>
                <w:b w:val="0"/>
              </w:rPr>
              <w:t>业绩比较基准收益率③</w:t>
            </w:r>
          </w:p>
        </w:tc>
        <w:tc>
          <w:tcPr>
            <w:tcW w:w="692" w:type="pct"/>
            <w:shd w:val="clear" w:color="auto" w:fill="D9D9D9"/>
            <w:vAlign w:val="center"/>
          </w:tcPr>
          <w:p w14:paraId="551C520E">
            <w:pPr>
              <w:spacing w:line="240" w:lineRule="auto"/>
              <w:jc w:val="center"/>
            </w:pPr>
            <w:r>
              <w:rPr>
                <w:rFonts w:ascii="宋体" w:hAnsi="宋体" w:eastAsia="宋体" w:cs="宋体"/>
                <w:b w:val="0"/>
              </w:rPr>
              <w:t>业绩比较基准收益率标准差④</w:t>
            </w:r>
          </w:p>
        </w:tc>
        <w:tc>
          <w:tcPr>
            <w:tcW w:w="692" w:type="pct"/>
            <w:shd w:val="clear" w:color="auto" w:fill="D9D9D9"/>
            <w:vAlign w:val="center"/>
          </w:tcPr>
          <w:p w14:paraId="3A5729BA">
            <w:pPr>
              <w:spacing w:line="240" w:lineRule="auto"/>
              <w:jc w:val="center"/>
            </w:pPr>
            <w:r>
              <w:rPr>
                <w:rFonts w:ascii="宋体" w:hAnsi="宋体" w:eastAsia="宋体" w:cs="宋体"/>
                <w:b w:val="0"/>
              </w:rPr>
              <w:t>①-③</w:t>
            </w:r>
          </w:p>
        </w:tc>
        <w:tc>
          <w:tcPr>
            <w:tcW w:w="692" w:type="pct"/>
            <w:shd w:val="clear" w:color="auto" w:fill="D9D9D9"/>
            <w:vAlign w:val="center"/>
          </w:tcPr>
          <w:p w14:paraId="65BF397F">
            <w:pPr>
              <w:spacing w:line="240" w:lineRule="auto"/>
              <w:jc w:val="center"/>
            </w:pPr>
            <w:r>
              <w:rPr>
                <w:rFonts w:ascii="宋体" w:hAnsi="宋体" w:eastAsia="宋体" w:cs="宋体"/>
                <w:b w:val="0"/>
              </w:rPr>
              <w:t>②-④</w:t>
            </w:r>
          </w:p>
        </w:tc>
      </w:tr>
      <w:tr w14:paraId="37262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574FA51A">
            <w:pPr>
              <w:spacing w:line="240" w:lineRule="auto"/>
              <w:jc w:val="left"/>
            </w:pPr>
            <w:r>
              <w:rPr>
                <w:rFonts w:ascii="宋体" w:hAnsi="宋体" w:eastAsia="宋体" w:cs="宋体"/>
                <w:b w:val="0"/>
              </w:rPr>
              <w:t>过去三个月</w:t>
            </w:r>
          </w:p>
        </w:tc>
        <w:tc>
          <w:tcPr>
            <w:tcW w:w="0" w:type="dxa"/>
            <w:vAlign w:val="center"/>
          </w:tcPr>
          <w:p w14:paraId="5D4801EA">
            <w:pPr>
              <w:spacing w:line="240" w:lineRule="auto"/>
              <w:jc w:val="right"/>
            </w:pPr>
            <w:r>
              <w:rPr>
                <w:rFonts w:ascii="宋体" w:hAnsi="宋体" w:eastAsia="宋体" w:cs="宋体"/>
                <w:b w:val="0"/>
              </w:rPr>
              <w:t>7.75%</w:t>
            </w:r>
          </w:p>
        </w:tc>
        <w:tc>
          <w:tcPr>
            <w:tcW w:w="0" w:type="dxa"/>
            <w:vAlign w:val="center"/>
          </w:tcPr>
          <w:p w14:paraId="176851F5">
            <w:pPr>
              <w:spacing w:line="240" w:lineRule="auto"/>
              <w:jc w:val="right"/>
            </w:pPr>
            <w:r>
              <w:rPr>
                <w:rFonts w:ascii="宋体" w:hAnsi="宋体" w:eastAsia="宋体" w:cs="宋体"/>
                <w:b w:val="0"/>
              </w:rPr>
              <w:t>1.91%</w:t>
            </w:r>
          </w:p>
        </w:tc>
        <w:tc>
          <w:tcPr>
            <w:tcW w:w="0" w:type="dxa"/>
            <w:vAlign w:val="center"/>
          </w:tcPr>
          <w:p w14:paraId="366BCC90">
            <w:pPr>
              <w:spacing w:line="240" w:lineRule="auto"/>
              <w:jc w:val="right"/>
            </w:pPr>
            <w:r>
              <w:rPr>
                <w:rFonts w:ascii="宋体" w:hAnsi="宋体" w:eastAsia="宋体" w:cs="宋体"/>
                <w:b w:val="0"/>
              </w:rPr>
              <w:t>1.62%</w:t>
            </w:r>
          </w:p>
        </w:tc>
        <w:tc>
          <w:tcPr>
            <w:tcW w:w="0" w:type="dxa"/>
            <w:vAlign w:val="center"/>
          </w:tcPr>
          <w:p w14:paraId="518826C7">
            <w:pPr>
              <w:spacing w:line="240" w:lineRule="auto"/>
              <w:jc w:val="right"/>
            </w:pPr>
            <w:r>
              <w:rPr>
                <w:rFonts w:ascii="宋体" w:hAnsi="宋体" w:eastAsia="宋体" w:cs="宋体"/>
                <w:b w:val="0"/>
              </w:rPr>
              <w:t>1.13%</w:t>
            </w:r>
          </w:p>
        </w:tc>
        <w:tc>
          <w:tcPr>
            <w:tcW w:w="0" w:type="dxa"/>
            <w:vAlign w:val="center"/>
          </w:tcPr>
          <w:p w14:paraId="5CE43754">
            <w:pPr>
              <w:spacing w:line="240" w:lineRule="auto"/>
              <w:jc w:val="right"/>
            </w:pPr>
            <w:r>
              <w:rPr>
                <w:rFonts w:ascii="宋体" w:hAnsi="宋体" w:eastAsia="宋体" w:cs="宋体"/>
                <w:b w:val="0"/>
              </w:rPr>
              <w:t>6.13%</w:t>
            </w:r>
          </w:p>
        </w:tc>
        <w:tc>
          <w:tcPr>
            <w:tcW w:w="0" w:type="dxa"/>
            <w:vAlign w:val="center"/>
          </w:tcPr>
          <w:p w14:paraId="3E8CABBA">
            <w:pPr>
              <w:spacing w:line="240" w:lineRule="auto"/>
              <w:jc w:val="right"/>
            </w:pPr>
            <w:r>
              <w:rPr>
                <w:rFonts w:ascii="宋体" w:hAnsi="宋体" w:eastAsia="宋体" w:cs="宋体"/>
                <w:b w:val="0"/>
              </w:rPr>
              <w:t>0.78%</w:t>
            </w:r>
          </w:p>
        </w:tc>
      </w:tr>
      <w:tr w14:paraId="2DD46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646773F9">
            <w:pPr>
              <w:spacing w:line="240" w:lineRule="auto"/>
              <w:jc w:val="left"/>
            </w:pPr>
            <w:r>
              <w:rPr>
                <w:rFonts w:ascii="宋体" w:hAnsi="宋体" w:eastAsia="宋体" w:cs="宋体"/>
                <w:b w:val="0"/>
              </w:rPr>
              <w:t>过去六个月</w:t>
            </w:r>
          </w:p>
        </w:tc>
        <w:tc>
          <w:tcPr>
            <w:tcW w:w="0" w:type="dxa"/>
            <w:vAlign w:val="center"/>
          </w:tcPr>
          <w:p w14:paraId="30483A2B">
            <w:pPr>
              <w:spacing w:line="240" w:lineRule="auto"/>
              <w:jc w:val="right"/>
            </w:pPr>
            <w:r>
              <w:rPr>
                <w:rFonts w:ascii="宋体" w:hAnsi="宋体" w:eastAsia="宋体" w:cs="宋体"/>
                <w:b w:val="0"/>
              </w:rPr>
              <w:t>-1.82%</w:t>
            </w:r>
          </w:p>
        </w:tc>
        <w:tc>
          <w:tcPr>
            <w:tcW w:w="0" w:type="dxa"/>
            <w:vAlign w:val="center"/>
          </w:tcPr>
          <w:p w14:paraId="3B570252">
            <w:pPr>
              <w:spacing w:line="240" w:lineRule="auto"/>
              <w:jc w:val="right"/>
            </w:pPr>
            <w:r>
              <w:rPr>
                <w:rFonts w:ascii="宋体" w:hAnsi="宋体" w:eastAsia="宋体" w:cs="宋体"/>
                <w:b w:val="0"/>
              </w:rPr>
              <w:t>1.93%</w:t>
            </w:r>
          </w:p>
        </w:tc>
        <w:tc>
          <w:tcPr>
            <w:tcW w:w="0" w:type="dxa"/>
            <w:vAlign w:val="center"/>
          </w:tcPr>
          <w:p w14:paraId="04608DA4">
            <w:pPr>
              <w:spacing w:line="240" w:lineRule="auto"/>
              <w:jc w:val="right"/>
            </w:pPr>
            <w:r>
              <w:rPr>
                <w:rFonts w:ascii="宋体" w:hAnsi="宋体" w:eastAsia="宋体" w:cs="宋体"/>
                <w:b w:val="0"/>
              </w:rPr>
              <w:t>2.82%</w:t>
            </w:r>
          </w:p>
        </w:tc>
        <w:tc>
          <w:tcPr>
            <w:tcW w:w="0" w:type="dxa"/>
            <w:vAlign w:val="center"/>
          </w:tcPr>
          <w:p w14:paraId="788B0B01">
            <w:pPr>
              <w:spacing w:line="240" w:lineRule="auto"/>
              <w:jc w:val="right"/>
            </w:pPr>
            <w:r>
              <w:rPr>
                <w:rFonts w:ascii="宋体" w:hAnsi="宋体" w:eastAsia="宋体" w:cs="宋体"/>
                <w:b w:val="0"/>
              </w:rPr>
              <w:t>1.02%</w:t>
            </w:r>
          </w:p>
        </w:tc>
        <w:tc>
          <w:tcPr>
            <w:tcW w:w="0" w:type="dxa"/>
            <w:vAlign w:val="center"/>
          </w:tcPr>
          <w:p w14:paraId="6719F39D">
            <w:pPr>
              <w:spacing w:line="240" w:lineRule="auto"/>
              <w:jc w:val="right"/>
            </w:pPr>
            <w:r>
              <w:rPr>
                <w:rFonts w:ascii="宋体" w:hAnsi="宋体" w:eastAsia="宋体" w:cs="宋体"/>
                <w:b w:val="0"/>
              </w:rPr>
              <w:t>-4.64%</w:t>
            </w:r>
          </w:p>
        </w:tc>
        <w:tc>
          <w:tcPr>
            <w:tcW w:w="0" w:type="dxa"/>
            <w:vAlign w:val="center"/>
          </w:tcPr>
          <w:p w14:paraId="56F04E6D">
            <w:pPr>
              <w:spacing w:line="240" w:lineRule="auto"/>
              <w:jc w:val="right"/>
            </w:pPr>
            <w:r>
              <w:rPr>
                <w:rFonts w:ascii="宋体" w:hAnsi="宋体" w:eastAsia="宋体" w:cs="宋体"/>
                <w:b w:val="0"/>
              </w:rPr>
              <w:t>0.91%</w:t>
            </w:r>
          </w:p>
        </w:tc>
      </w:tr>
      <w:tr w14:paraId="6E58A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77702E57">
            <w:pPr>
              <w:spacing w:line="240" w:lineRule="auto"/>
              <w:jc w:val="left"/>
            </w:pPr>
            <w:r>
              <w:rPr>
                <w:rFonts w:ascii="宋体" w:hAnsi="宋体" w:eastAsia="宋体" w:cs="宋体"/>
                <w:b w:val="0"/>
              </w:rPr>
              <w:t>过去一年</w:t>
            </w:r>
          </w:p>
        </w:tc>
        <w:tc>
          <w:tcPr>
            <w:tcW w:w="0" w:type="dxa"/>
            <w:vAlign w:val="center"/>
          </w:tcPr>
          <w:p w14:paraId="366F5A83">
            <w:pPr>
              <w:spacing w:line="240" w:lineRule="auto"/>
              <w:jc w:val="right"/>
            </w:pPr>
            <w:r>
              <w:rPr>
                <w:rFonts w:ascii="宋体" w:hAnsi="宋体" w:eastAsia="宋体" w:cs="宋体"/>
                <w:b w:val="0"/>
              </w:rPr>
              <w:t>14.18%</w:t>
            </w:r>
          </w:p>
        </w:tc>
        <w:tc>
          <w:tcPr>
            <w:tcW w:w="0" w:type="dxa"/>
            <w:vAlign w:val="center"/>
          </w:tcPr>
          <w:p w14:paraId="3BC53038">
            <w:pPr>
              <w:spacing w:line="240" w:lineRule="auto"/>
              <w:jc w:val="right"/>
            </w:pPr>
            <w:r>
              <w:rPr>
                <w:rFonts w:ascii="宋体" w:hAnsi="宋体" w:eastAsia="宋体" w:cs="宋体"/>
                <w:b w:val="0"/>
              </w:rPr>
              <w:t>2.14%</w:t>
            </w:r>
          </w:p>
        </w:tc>
        <w:tc>
          <w:tcPr>
            <w:tcW w:w="0" w:type="dxa"/>
            <w:vAlign w:val="center"/>
          </w:tcPr>
          <w:p w14:paraId="13658B23">
            <w:pPr>
              <w:spacing w:line="240" w:lineRule="auto"/>
              <w:jc w:val="right"/>
            </w:pPr>
            <w:r>
              <w:rPr>
                <w:rFonts w:ascii="宋体" w:hAnsi="宋体" w:eastAsia="宋体" w:cs="宋体"/>
                <w:b w:val="0"/>
              </w:rPr>
              <w:t>16.53%</w:t>
            </w:r>
          </w:p>
        </w:tc>
        <w:tc>
          <w:tcPr>
            <w:tcW w:w="0" w:type="dxa"/>
            <w:vAlign w:val="center"/>
          </w:tcPr>
          <w:p w14:paraId="0D3C2C7E">
            <w:pPr>
              <w:spacing w:line="240" w:lineRule="auto"/>
              <w:jc w:val="right"/>
            </w:pPr>
            <w:r>
              <w:rPr>
                <w:rFonts w:ascii="宋体" w:hAnsi="宋体" w:eastAsia="宋体" w:cs="宋体"/>
                <w:b w:val="0"/>
              </w:rPr>
              <w:t>1.27%</w:t>
            </w:r>
          </w:p>
        </w:tc>
        <w:tc>
          <w:tcPr>
            <w:tcW w:w="0" w:type="dxa"/>
            <w:vAlign w:val="center"/>
          </w:tcPr>
          <w:p w14:paraId="64458CC4">
            <w:pPr>
              <w:spacing w:line="240" w:lineRule="auto"/>
              <w:jc w:val="right"/>
            </w:pPr>
            <w:r>
              <w:rPr>
                <w:rFonts w:ascii="宋体" w:hAnsi="宋体" w:eastAsia="宋体" w:cs="宋体"/>
                <w:b w:val="0"/>
              </w:rPr>
              <w:t>-2.35%</w:t>
            </w:r>
          </w:p>
        </w:tc>
        <w:tc>
          <w:tcPr>
            <w:tcW w:w="0" w:type="dxa"/>
            <w:vAlign w:val="center"/>
          </w:tcPr>
          <w:p w14:paraId="041DC771">
            <w:pPr>
              <w:spacing w:line="240" w:lineRule="auto"/>
              <w:jc w:val="right"/>
            </w:pPr>
            <w:r>
              <w:rPr>
                <w:rFonts w:ascii="宋体" w:hAnsi="宋体" w:eastAsia="宋体" w:cs="宋体"/>
                <w:b w:val="0"/>
              </w:rPr>
              <w:t>0.87%</w:t>
            </w:r>
          </w:p>
        </w:tc>
      </w:tr>
      <w:tr w14:paraId="768E5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44D39D68">
            <w:pPr>
              <w:spacing w:line="240" w:lineRule="auto"/>
              <w:jc w:val="left"/>
            </w:pPr>
            <w:r>
              <w:rPr>
                <w:rFonts w:ascii="宋体" w:hAnsi="宋体" w:eastAsia="宋体" w:cs="宋体"/>
                <w:b w:val="0"/>
              </w:rPr>
              <w:t>过去三年</w:t>
            </w:r>
          </w:p>
        </w:tc>
        <w:tc>
          <w:tcPr>
            <w:tcW w:w="0" w:type="dxa"/>
            <w:vAlign w:val="center"/>
          </w:tcPr>
          <w:p w14:paraId="03148E42">
            <w:pPr>
              <w:spacing w:line="240" w:lineRule="auto"/>
              <w:jc w:val="right"/>
            </w:pPr>
            <w:r>
              <w:rPr>
                <w:rFonts w:ascii="宋体" w:hAnsi="宋体" w:eastAsia="宋体" w:cs="宋体"/>
                <w:b w:val="0"/>
              </w:rPr>
              <w:t>-37.76%</w:t>
            </w:r>
          </w:p>
        </w:tc>
        <w:tc>
          <w:tcPr>
            <w:tcW w:w="0" w:type="dxa"/>
            <w:vAlign w:val="center"/>
          </w:tcPr>
          <w:p w14:paraId="28DF2F01">
            <w:pPr>
              <w:spacing w:line="240" w:lineRule="auto"/>
              <w:jc w:val="right"/>
            </w:pPr>
            <w:r>
              <w:rPr>
                <w:rFonts w:ascii="宋体" w:hAnsi="宋体" w:eastAsia="宋体" w:cs="宋体"/>
                <w:b w:val="0"/>
              </w:rPr>
              <w:t>1.94%</w:t>
            </w:r>
          </w:p>
        </w:tc>
        <w:tc>
          <w:tcPr>
            <w:tcW w:w="0" w:type="dxa"/>
            <w:vAlign w:val="center"/>
          </w:tcPr>
          <w:p w14:paraId="21D0285E">
            <w:pPr>
              <w:spacing w:line="240" w:lineRule="auto"/>
              <w:jc w:val="right"/>
            </w:pPr>
            <w:r>
              <w:rPr>
                <w:rFonts w:ascii="宋体" w:hAnsi="宋体" w:eastAsia="宋体" w:cs="宋体"/>
                <w:b w:val="0"/>
              </w:rPr>
              <w:t>-6.06%</w:t>
            </w:r>
          </w:p>
        </w:tc>
        <w:tc>
          <w:tcPr>
            <w:tcW w:w="0" w:type="dxa"/>
            <w:vAlign w:val="center"/>
          </w:tcPr>
          <w:p w14:paraId="39E8E8A8">
            <w:pPr>
              <w:spacing w:line="240" w:lineRule="auto"/>
              <w:jc w:val="right"/>
            </w:pPr>
            <w:r>
              <w:rPr>
                <w:rFonts w:ascii="宋体" w:hAnsi="宋体" w:eastAsia="宋体" w:cs="宋体"/>
                <w:b w:val="0"/>
              </w:rPr>
              <w:t>1.01%</w:t>
            </w:r>
          </w:p>
        </w:tc>
        <w:tc>
          <w:tcPr>
            <w:tcW w:w="0" w:type="dxa"/>
            <w:vAlign w:val="center"/>
          </w:tcPr>
          <w:p w14:paraId="7815A819">
            <w:pPr>
              <w:spacing w:line="240" w:lineRule="auto"/>
              <w:jc w:val="right"/>
            </w:pPr>
            <w:r>
              <w:rPr>
                <w:rFonts w:ascii="宋体" w:hAnsi="宋体" w:eastAsia="宋体" w:cs="宋体"/>
                <w:b w:val="0"/>
              </w:rPr>
              <w:t>-31.70%</w:t>
            </w:r>
          </w:p>
        </w:tc>
        <w:tc>
          <w:tcPr>
            <w:tcW w:w="0" w:type="dxa"/>
            <w:vAlign w:val="center"/>
          </w:tcPr>
          <w:p w14:paraId="21C41E8D">
            <w:pPr>
              <w:spacing w:line="240" w:lineRule="auto"/>
              <w:jc w:val="right"/>
            </w:pPr>
            <w:r>
              <w:rPr>
                <w:rFonts w:ascii="宋体" w:hAnsi="宋体" w:eastAsia="宋体" w:cs="宋体"/>
                <w:b w:val="0"/>
              </w:rPr>
              <w:t>0.93%</w:t>
            </w:r>
          </w:p>
        </w:tc>
      </w:tr>
      <w:tr w14:paraId="52EA8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79B5C083">
            <w:pPr>
              <w:spacing w:line="240" w:lineRule="auto"/>
              <w:jc w:val="left"/>
            </w:pPr>
            <w:r>
              <w:rPr>
                <w:rFonts w:ascii="宋体" w:hAnsi="宋体" w:eastAsia="宋体" w:cs="宋体"/>
                <w:b w:val="0"/>
              </w:rPr>
              <w:t>自基金合同生效起至今</w:t>
            </w:r>
          </w:p>
        </w:tc>
        <w:tc>
          <w:tcPr>
            <w:tcW w:w="0" w:type="dxa"/>
            <w:vAlign w:val="center"/>
          </w:tcPr>
          <w:p w14:paraId="68D7377A">
            <w:pPr>
              <w:spacing w:line="240" w:lineRule="auto"/>
              <w:jc w:val="right"/>
            </w:pPr>
            <w:r>
              <w:rPr>
                <w:rFonts w:ascii="宋体" w:hAnsi="宋体" w:eastAsia="宋体" w:cs="宋体"/>
                <w:b w:val="0"/>
              </w:rPr>
              <w:t>-50.25%</w:t>
            </w:r>
          </w:p>
        </w:tc>
        <w:tc>
          <w:tcPr>
            <w:tcW w:w="0" w:type="dxa"/>
            <w:vAlign w:val="center"/>
          </w:tcPr>
          <w:p w14:paraId="54EFECFC">
            <w:pPr>
              <w:spacing w:line="240" w:lineRule="auto"/>
              <w:jc w:val="right"/>
            </w:pPr>
            <w:r>
              <w:rPr>
                <w:rFonts w:ascii="宋体" w:hAnsi="宋体" w:eastAsia="宋体" w:cs="宋体"/>
                <w:b w:val="0"/>
              </w:rPr>
              <w:t>1.82%</w:t>
            </w:r>
          </w:p>
        </w:tc>
        <w:tc>
          <w:tcPr>
            <w:tcW w:w="0" w:type="dxa"/>
            <w:vAlign w:val="center"/>
          </w:tcPr>
          <w:p w14:paraId="5C541B91">
            <w:pPr>
              <w:spacing w:line="240" w:lineRule="auto"/>
              <w:jc w:val="right"/>
            </w:pPr>
            <w:r>
              <w:rPr>
                <w:rFonts w:ascii="宋体" w:hAnsi="宋体" w:eastAsia="宋体" w:cs="宋体"/>
                <w:b w:val="0"/>
              </w:rPr>
              <w:t>-13.94%</w:t>
            </w:r>
          </w:p>
        </w:tc>
        <w:tc>
          <w:tcPr>
            <w:tcW w:w="0" w:type="dxa"/>
            <w:vAlign w:val="center"/>
          </w:tcPr>
          <w:p w14:paraId="1D0C14ED">
            <w:pPr>
              <w:spacing w:line="240" w:lineRule="auto"/>
              <w:jc w:val="right"/>
            </w:pPr>
            <w:r>
              <w:rPr>
                <w:rFonts w:ascii="宋体" w:hAnsi="宋体" w:eastAsia="宋体" w:cs="宋体"/>
                <w:b w:val="0"/>
              </w:rPr>
              <w:t>1.02%</w:t>
            </w:r>
          </w:p>
        </w:tc>
        <w:tc>
          <w:tcPr>
            <w:tcW w:w="0" w:type="dxa"/>
            <w:vAlign w:val="center"/>
          </w:tcPr>
          <w:p w14:paraId="57D4CDA6">
            <w:pPr>
              <w:spacing w:line="240" w:lineRule="auto"/>
              <w:jc w:val="right"/>
            </w:pPr>
            <w:r>
              <w:rPr>
                <w:rFonts w:ascii="宋体" w:hAnsi="宋体" w:eastAsia="宋体" w:cs="宋体"/>
                <w:b w:val="0"/>
              </w:rPr>
              <w:t>-36.31%</w:t>
            </w:r>
          </w:p>
        </w:tc>
        <w:tc>
          <w:tcPr>
            <w:tcW w:w="0" w:type="dxa"/>
            <w:vAlign w:val="center"/>
          </w:tcPr>
          <w:p w14:paraId="2652C74C">
            <w:pPr>
              <w:spacing w:line="240" w:lineRule="auto"/>
              <w:jc w:val="right"/>
            </w:pPr>
            <w:r>
              <w:rPr>
                <w:rFonts w:ascii="宋体" w:hAnsi="宋体" w:eastAsia="宋体" w:cs="宋体"/>
                <w:b w:val="0"/>
              </w:rPr>
              <w:t>0.80%</w:t>
            </w:r>
          </w:p>
        </w:tc>
      </w:tr>
    </w:tbl>
    <w:p w14:paraId="28D92036">
      <w:pPr>
        <w:jc w:val="left"/>
      </w:pPr>
      <w:r>
        <w:rPr>
          <w:rFonts w:ascii="宋体" w:hAnsi="宋体" w:eastAsia="宋体" w:cs="宋体"/>
          <w:b/>
        </w:rPr>
        <w:t>东方阿尔法招阳混合C净值表现</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71"/>
        <w:gridCol w:w="1285"/>
        <w:gridCol w:w="1286"/>
        <w:gridCol w:w="1286"/>
        <w:gridCol w:w="1286"/>
        <w:gridCol w:w="1286"/>
        <w:gridCol w:w="1286"/>
      </w:tblGrid>
      <w:tr w14:paraId="4AB26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pct"/>
            <w:shd w:val="clear" w:color="auto" w:fill="D9D9D9"/>
            <w:vAlign w:val="center"/>
          </w:tcPr>
          <w:p w14:paraId="2894DD85">
            <w:pPr>
              <w:spacing w:line="240" w:lineRule="auto"/>
              <w:jc w:val="center"/>
            </w:pPr>
            <w:r>
              <w:rPr>
                <w:rFonts w:ascii="宋体" w:hAnsi="宋体" w:eastAsia="宋体" w:cs="宋体"/>
                <w:b w:val="0"/>
              </w:rPr>
              <w:t>阶段</w:t>
            </w:r>
          </w:p>
        </w:tc>
        <w:tc>
          <w:tcPr>
            <w:tcW w:w="692" w:type="pct"/>
            <w:shd w:val="clear" w:color="auto" w:fill="D9D9D9"/>
            <w:vAlign w:val="center"/>
          </w:tcPr>
          <w:p w14:paraId="5EA97663">
            <w:pPr>
              <w:spacing w:line="240" w:lineRule="auto"/>
              <w:jc w:val="center"/>
            </w:pPr>
            <w:r>
              <w:rPr>
                <w:rFonts w:ascii="宋体" w:hAnsi="宋体" w:eastAsia="宋体" w:cs="宋体"/>
                <w:b w:val="0"/>
              </w:rPr>
              <w:t>净值增长率①</w:t>
            </w:r>
          </w:p>
        </w:tc>
        <w:tc>
          <w:tcPr>
            <w:tcW w:w="692" w:type="pct"/>
            <w:shd w:val="clear" w:color="auto" w:fill="D9D9D9"/>
            <w:vAlign w:val="center"/>
          </w:tcPr>
          <w:p w14:paraId="14EACCAB">
            <w:pPr>
              <w:spacing w:line="240" w:lineRule="auto"/>
              <w:jc w:val="center"/>
            </w:pPr>
            <w:r>
              <w:rPr>
                <w:rFonts w:ascii="宋体" w:hAnsi="宋体" w:eastAsia="宋体" w:cs="宋体"/>
                <w:b w:val="0"/>
              </w:rPr>
              <w:t>净值增长率标准差②</w:t>
            </w:r>
          </w:p>
        </w:tc>
        <w:tc>
          <w:tcPr>
            <w:tcW w:w="692" w:type="pct"/>
            <w:shd w:val="clear" w:color="auto" w:fill="D9D9D9"/>
            <w:vAlign w:val="center"/>
          </w:tcPr>
          <w:p w14:paraId="1783E56C">
            <w:pPr>
              <w:spacing w:line="240" w:lineRule="auto"/>
              <w:jc w:val="center"/>
            </w:pPr>
            <w:r>
              <w:rPr>
                <w:rFonts w:ascii="宋体" w:hAnsi="宋体" w:eastAsia="宋体" w:cs="宋体"/>
                <w:b w:val="0"/>
              </w:rPr>
              <w:t>业绩比较基准收益率③</w:t>
            </w:r>
          </w:p>
        </w:tc>
        <w:tc>
          <w:tcPr>
            <w:tcW w:w="692" w:type="pct"/>
            <w:shd w:val="clear" w:color="auto" w:fill="D9D9D9"/>
            <w:vAlign w:val="center"/>
          </w:tcPr>
          <w:p w14:paraId="3D060A4E">
            <w:pPr>
              <w:spacing w:line="240" w:lineRule="auto"/>
              <w:jc w:val="center"/>
            </w:pPr>
            <w:r>
              <w:rPr>
                <w:rFonts w:ascii="宋体" w:hAnsi="宋体" w:eastAsia="宋体" w:cs="宋体"/>
                <w:b w:val="0"/>
              </w:rPr>
              <w:t>业绩比较基准收益率标准差④</w:t>
            </w:r>
          </w:p>
        </w:tc>
        <w:tc>
          <w:tcPr>
            <w:tcW w:w="692" w:type="pct"/>
            <w:shd w:val="clear" w:color="auto" w:fill="D9D9D9"/>
            <w:vAlign w:val="center"/>
          </w:tcPr>
          <w:p w14:paraId="3982B4D3">
            <w:pPr>
              <w:spacing w:line="240" w:lineRule="auto"/>
              <w:jc w:val="center"/>
            </w:pPr>
            <w:r>
              <w:rPr>
                <w:rFonts w:ascii="宋体" w:hAnsi="宋体" w:eastAsia="宋体" w:cs="宋体"/>
                <w:b w:val="0"/>
              </w:rPr>
              <w:t>①-③</w:t>
            </w:r>
          </w:p>
        </w:tc>
        <w:tc>
          <w:tcPr>
            <w:tcW w:w="692" w:type="pct"/>
            <w:shd w:val="clear" w:color="auto" w:fill="D9D9D9"/>
            <w:vAlign w:val="center"/>
          </w:tcPr>
          <w:p w14:paraId="23B8BCAB">
            <w:pPr>
              <w:spacing w:line="240" w:lineRule="auto"/>
              <w:jc w:val="center"/>
            </w:pPr>
            <w:r>
              <w:rPr>
                <w:rFonts w:ascii="宋体" w:hAnsi="宋体" w:eastAsia="宋体" w:cs="宋体"/>
                <w:b w:val="0"/>
              </w:rPr>
              <w:t>②-④</w:t>
            </w:r>
          </w:p>
        </w:tc>
      </w:tr>
      <w:tr w14:paraId="2DAC5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3483509C">
            <w:pPr>
              <w:spacing w:line="240" w:lineRule="auto"/>
              <w:jc w:val="left"/>
            </w:pPr>
            <w:r>
              <w:rPr>
                <w:rFonts w:ascii="宋体" w:hAnsi="宋体" w:eastAsia="宋体" w:cs="宋体"/>
                <w:b w:val="0"/>
              </w:rPr>
              <w:t>过去三个月</w:t>
            </w:r>
          </w:p>
        </w:tc>
        <w:tc>
          <w:tcPr>
            <w:tcW w:w="0" w:type="dxa"/>
            <w:vAlign w:val="center"/>
          </w:tcPr>
          <w:p w14:paraId="1A09E338">
            <w:pPr>
              <w:spacing w:line="240" w:lineRule="auto"/>
              <w:jc w:val="right"/>
            </w:pPr>
            <w:r>
              <w:rPr>
                <w:rFonts w:ascii="宋体" w:hAnsi="宋体" w:eastAsia="宋体" w:cs="宋体"/>
                <w:b w:val="0"/>
              </w:rPr>
              <w:t>7.54%</w:t>
            </w:r>
          </w:p>
        </w:tc>
        <w:tc>
          <w:tcPr>
            <w:tcW w:w="0" w:type="dxa"/>
            <w:vAlign w:val="center"/>
          </w:tcPr>
          <w:p w14:paraId="48C11469">
            <w:pPr>
              <w:spacing w:line="240" w:lineRule="auto"/>
              <w:jc w:val="right"/>
            </w:pPr>
            <w:r>
              <w:rPr>
                <w:rFonts w:ascii="宋体" w:hAnsi="宋体" w:eastAsia="宋体" w:cs="宋体"/>
                <w:b w:val="0"/>
              </w:rPr>
              <w:t>1.91%</w:t>
            </w:r>
          </w:p>
        </w:tc>
        <w:tc>
          <w:tcPr>
            <w:tcW w:w="0" w:type="dxa"/>
            <w:vAlign w:val="center"/>
          </w:tcPr>
          <w:p w14:paraId="2D494E5A">
            <w:pPr>
              <w:spacing w:line="240" w:lineRule="auto"/>
              <w:jc w:val="right"/>
            </w:pPr>
            <w:r>
              <w:rPr>
                <w:rFonts w:ascii="宋体" w:hAnsi="宋体" w:eastAsia="宋体" w:cs="宋体"/>
                <w:b w:val="0"/>
              </w:rPr>
              <w:t>1.62%</w:t>
            </w:r>
          </w:p>
        </w:tc>
        <w:tc>
          <w:tcPr>
            <w:tcW w:w="0" w:type="dxa"/>
            <w:vAlign w:val="center"/>
          </w:tcPr>
          <w:p w14:paraId="68A4B1FD">
            <w:pPr>
              <w:spacing w:line="240" w:lineRule="auto"/>
              <w:jc w:val="right"/>
            </w:pPr>
            <w:r>
              <w:rPr>
                <w:rFonts w:ascii="宋体" w:hAnsi="宋体" w:eastAsia="宋体" w:cs="宋体"/>
                <w:b w:val="0"/>
              </w:rPr>
              <w:t>1.13%</w:t>
            </w:r>
          </w:p>
        </w:tc>
        <w:tc>
          <w:tcPr>
            <w:tcW w:w="0" w:type="dxa"/>
            <w:vAlign w:val="center"/>
          </w:tcPr>
          <w:p w14:paraId="489E4DAF">
            <w:pPr>
              <w:spacing w:line="240" w:lineRule="auto"/>
              <w:jc w:val="right"/>
            </w:pPr>
            <w:r>
              <w:rPr>
                <w:rFonts w:ascii="宋体" w:hAnsi="宋体" w:eastAsia="宋体" w:cs="宋体"/>
                <w:b w:val="0"/>
              </w:rPr>
              <w:t>5.92%</w:t>
            </w:r>
          </w:p>
        </w:tc>
        <w:tc>
          <w:tcPr>
            <w:tcW w:w="0" w:type="dxa"/>
            <w:vAlign w:val="center"/>
          </w:tcPr>
          <w:p w14:paraId="08184213">
            <w:pPr>
              <w:spacing w:line="240" w:lineRule="auto"/>
              <w:jc w:val="right"/>
            </w:pPr>
            <w:r>
              <w:rPr>
                <w:rFonts w:ascii="宋体" w:hAnsi="宋体" w:eastAsia="宋体" w:cs="宋体"/>
                <w:b w:val="0"/>
              </w:rPr>
              <w:t>0.78%</w:t>
            </w:r>
          </w:p>
        </w:tc>
      </w:tr>
      <w:tr w14:paraId="3E411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12D5618B">
            <w:pPr>
              <w:spacing w:line="240" w:lineRule="auto"/>
              <w:jc w:val="left"/>
            </w:pPr>
            <w:r>
              <w:rPr>
                <w:rFonts w:ascii="宋体" w:hAnsi="宋体" w:eastAsia="宋体" w:cs="宋体"/>
                <w:b w:val="0"/>
              </w:rPr>
              <w:t>过去六个月</w:t>
            </w:r>
          </w:p>
        </w:tc>
        <w:tc>
          <w:tcPr>
            <w:tcW w:w="0" w:type="dxa"/>
            <w:vAlign w:val="center"/>
          </w:tcPr>
          <w:p w14:paraId="7A3905B2">
            <w:pPr>
              <w:spacing w:line="240" w:lineRule="auto"/>
              <w:jc w:val="right"/>
            </w:pPr>
            <w:r>
              <w:rPr>
                <w:rFonts w:ascii="宋体" w:hAnsi="宋体" w:eastAsia="宋体" w:cs="宋体"/>
                <w:b w:val="0"/>
              </w:rPr>
              <w:t>-2.21%</w:t>
            </w:r>
          </w:p>
        </w:tc>
        <w:tc>
          <w:tcPr>
            <w:tcW w:w="0" w:type="dxa"/>
            <w:vAlign w:val="center"/>
          </w:tcPr>
          <w:p w14:paraId="288D5E03">
            <w:pPr>
              <w:spacing w:line="240" w:lineRule="auto"/>
              <w:jc w:val="right"/>
            </w:pPr>
            <w:r>
              <w:rPr>
                <w:rFonts w:ascii="宋体" w:hAnsi="宋体" w:eastAsia="宋体" w:cs="宋体"/>
                <w:b w:val="0"/>
              </w:rPr>
              <w:t>1.93%</w:t>
            </w:r>
          </w:p>
        </w:tc>
        <w:tc>
          <w:tcPr>
            <w:tcW w:w="0" w:type="dxa"/>
            <w:vAlign w:val="center"/>
          </w:tcPr>
          <w:p w14:paraId="4A9E6240">
            <w:pPr>
              <w:spacing w:line="240" w:lineRule="auto"/>
              <w:jc w:val="right"/>
            </w:pPr>
            <w:r>
              <w:rPr>
                <w:rFonts w:ascii="宋体" w:hAnsi="宋体" w:eastAsia="宋体" w:cs="宋体"/>
                <w:b w:val="0"/>
              </w:rPr>
              <w:t>2.82%</w:t>
            </w:r>
          </w:p>
        </w:tc>
        <w:tc>
          <w:tcPr>
            <w:tcW w:w="0" w:type="dxa"/>
            <w:vAlign w:val="center"/>
          </w:tcPr>
          <w:p w14:paraId="5BCFC4AD">
            <w:pPr>
              <w:spacing w:line="240" w:lineRule="auto"/>
              <w:jc w:val="right"/>
            </w:pPr>
            <w:r>
              <w:rPr>
                <w:rFonts w:ascii="宋体" w:hAnsi="宋体" w:eastAsia="宋体" w:cs="宋体"/>
                <w:b w:val="0"/>
              </w:rPr>
              <w:t>1.02%</w:t>
            </w:r>
          </w:p>
        </w:tc>
        <w:tc>
          <w:tcPr>
            <w:tcW w:w="0" w:type="dxa"/>
            <w:vAlign w:val="center"/>
          </w:tcPr>
          <w:p w14:paraId="57F984CB">
            <w:pPr>
              <w:spacing w:line="240" w:lineRule="auto"/>
              <w:jc w:val="right"/>
            </w:pPr>
            <w:r>
              <w:rPr>
                <w:rFonts w:ascii="宋体" w:hAnsi="宋体" w:eastAsia="宋体" w:cs="宋体"/>
                <w:b w:val="0"/>
              </w:rPr>
              <w:t>-5.03%</w:t>
            </w:r>
          </w:p>
        </w:tc>
        <w:tc>
          <w:tcPr>
            <w:tcW w:w="0" w:type="dxa"/>
            <w:vAlign w:val="center"/>
          </w:tcPr>
          <w:p w14:paraId="745683BF">
            <w:pPr>
              <w:spacing w:line="240" w:lineRule="auto"/>
              <w:jc w:val="right"/>
            </w:pPr>
            <w:r>
              <w:rPr>
                <w:rFonts w:ascii="宋体" w:hAnsi="宋体" w:eastAsia="宋体" w:cs="宋体"/>
                <w:b w:val="0"/>
              </w:rPr>
              <w:t>0.91%</w:t>
            </w:r>
          </w:p>
        </w:tc>
      </w:tr>
      <w:tr w14:paraId="3937F9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77960342">
            <w:pPr>
              <w:spacing w:line="240" w:lineRule="auto"/>
              <w:jc w:val="left"/>
            </w:pPr>
            <w:r>
              <w:rPr>
                <w:rFonts w:ascii="宋体" w:hAnsi="宋体" w:eastAsia="宋体" w:cs="宋体"/>
                <w:b w:val="0"/>
              </w:rPr>
              <w:t>过去一年</w:t>
            </w:r>
          </w:p>
        </w:tc>
        <w:tc>
          <w:tcPr>
            <w:tcW w:w="0" w:type="dxa"/>
            <w:vAlign w:val="center"/>
          </w:tcPr>
          <w:p w14:paraId="0176AC0A">
            <w:pPr>
              <w:spacing w:line="240" w:lineRule="auto"/>
              <w:jc w:val="right"/>
            </w:pPr>
            <w:r>
              <w:rPr>
                <w:rFonts w:ascii="宋体" w:hAnsi="宋体" w:eastAsia="宋体" w:cs="宋体"/>
                <w:b w:val="0"/>
              </w:rPr>
              <w:t>13.26%</w:t>
            </w:r>
          </w:p>
        </w:tc>
        <w:tc>
          <w:tcPr>
            <w:tcW w:w="0" w:type="dxa"/>
            <w:vAlign w:val="center"/>
          </w:tcPr>
          <w:p w14:paraId="6D8A4EDE">
            <w:pPr>
              <w:spacing w:line="240" w:lineRule="auto"/>
              <w:jc w:val="right"/>
            </w:pPr>
            <w:r>
              <w:rPr>
                <w:rFonts w:ascii="宋体" w:hAnsi="宋体" w:eastAsia="宋体" w:cs="宋体"/>
                <w:b w:val="0"/>
              </w:rPr>
              <w:t>2.14%</w:t>
            </w:r>
          </w:p>
        </w:tc>
        <w:tc>
          <w:tcPr>
            <w:tcW w:w="0" w:type="dxa"/>
            <w:vAlign w:val="center"/>
          </w:tcPr>
          <w:p w14:paraId="3085451C">
            <w:pPr>
              <w:spacing w:line="240" w:lineRule="auto"/>
              <w:jc w:val="right"/>
            </w:pPr>
            <w:r>
              <w:rPr>
                <w:rFonts w:ascii="宋体" w:hAnsi="宋体" w:eastAsia="宋体" w:cs="宋体"/>
                <w:b w:val="0"/>
              </w:rPr>
              <w:t>16.53%</w:t>
            </w:r>
          </w:p>
        </w:tc>
        <w:tc>
          <w:tcPr>
            <w:tcW w:w="0" w:type="dxa"/>
            <w:vAlign w:val="center"/>
          </w:tcPr>
          <w:p w14:paraId="1367BC73">
            <w:pPr>
              <w:spacing w:line="240" w:lineRule="auto"/>
              <w:jc w:val="right"/>
            </w:pPr>
            <w:r>
              <w:rPr>
                <w:rFonts w:ascii="宋体" w:hAnsi="宋体" w:eastAsia="宋体" w:cs="宋体"/>
                <w:b w:val="0"/>
              </w:rPr>
              <w:t>1.27%</w:t>
            </w:r>
          </w:p>
        </w:tc>
        <w:tc>
          <w:tcPr>
            <w:tcW w:w="0" w:type="dxa"/>
            <w:vAlign w:val="center"/>
          </w:tcPr>
          <w:p w14:paraId="29DF5CAF">
            <w:pPr>
              <w:spacing w:line="240" w:lineRule="auto"/>
              <w:jc w:val="right"/>
            </w:pPr>
            <w:r>
              <w:rPr>
                <w:rFonts w:ascii="宋体" w:hAnsi="宋体" w:eastAsia="宋体" w:cs="宋体"/>
                <w:b w:val="0"/>
              </w:rPr>
              <w:t>-3.27%</w:t>
            </w:r>
          </w:p>
        </w:tc>
        <w:tc>
          <w:tcPr>
            <w:tcW w:w="0" w:type="dxa"/>
            <w:vAlign w:val="center"/>
          </w:tcPr>
          <w:p w14:paraId="048B00FC">
            <w:pPr>
              <w:spacing w:line="240" w:lineRule="auto"/>
              <w:jc w:val="right"/>
            </w:pPr>
            <w:r>
              <w:rPr>
                <w:rFonts w:ascii="宋体" w:hAnsi="宋体" w:eastAsia="宋体" w:cs="宋体"/>
                <w:b w:val="0"/>
              </w:rPr>
              <w:t>0.87%</w:t>
            </w:r>
          </w:p>
        </w:tc>
      </w:tr>
      <w:tr w14:paraId="6696D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7805E228">
            <w:pPr>
              <w:spacing w:line="240" w:lineRule="auto"/>
              <w:jc w:val="left"/>
            </w:pPr>
            <w:r>
              <w:rPr>
                <w:rFonts w:ascii="宋体" w:hAnsi="宋体" w:eastAsia="宋体" w:cs="宋体"/>
                <w:b w:val="0"/>
              </w:rPr>
              <w:t>过去三年</w:t>
            </w:r>
          </w:p>
        </w:tc>
        <w:tc>
          <w:tcPr>
            <w:tcW w:w="0" w:type="dxa"/>
            <w:vAlign w:val="center"/>
          </w:tcPr>
          <w:p w14:paraId="0C41269A">
            <w:pPr>
              <w:spacing w:line="240" w:lineRule="auto"/>
              <w:jc w:val="right"/>
            </w:pPr>
            <w:r>
              <w:rPr>
                <w:rFonts w:ascii="宋体" w:hAnsi="宋体" w:eastAsia="宋体" w:cs="宋体"/>
                <w:b w:val="0"/>
              </w:rPr>
              <w:t>-39.63%</w:t>
            </w:r>
          </w:p>
        </w:tc>
        <w:tc>
          <w:tcPr>
            <w:tcW w:w="0" w:type="dxa"/>
            <w:vAlign w:val="center"/>
          </w:tcPr>
          <w:p w14:paraId="5913602D">
            <w:pPr>
              <w:spacing w:line="240" w:lineRule="auto"/>
              <w:jc w:val="right"/>
            </w:pPr>
            <w:r>
              <w:rPr>
                <w:rFonts w:ascii="宋体" w:hAnsi="宋体" w:eastAsia="宋体" w:cs="宋体"/>
                <w:b w:val="0"/>
              </w:rPr>
              <w:t>1.94%</w:t>
            </w:r>
          </w:p>
        </w:tc>
        <w:tc>
          <w:tcPr>
            <w:tcW w:w="0" w:type="dxa"/>
            <w:vAlign w:val="center"/>
          </w:tcPr>
          <w:p w14:paraId="242338AE">
            <w:pPr>
              <w:spacing w:line="240" w:lineRule="auto"/>
              <w:jc w:val="right"/>
            </w:pPr>
            <w:r>
              <w:rPr>
                <w:rFonts w:ascii="宋体" w:hAnsi="宋体" w:eastAsia="宋体" w:cs="宋体"/>
                <w:b w:val="0"/>
              </w:rPr>
              <w:t>-6.06%</w:t>
            </w:r>
          </w:p>
        </w:tc>
        <w:tc>
          <w:tcPr>
            <w:tcW w:w="0" w:type="dxa"/>
            <w:vAlign w:val="center"/>
          </w:tcPr>
          <w:p w14:paraId="54B1B192">
            <w:pPr>
              <w:spacing w:line="240" w:lineRule="auto"/>
              <w:jc w:val="right"/>
            </w:pPr>
            <w:r>
              <w:rPr>
                <w:rFonts w:ascii="宋体" w:hAnsi="宋体" w:eastAsia="宋体" w:cs="宋体"/>
                <w:b w:val="0"/>
              </w:rPr>
              <w:t>1.01%</w:t>
            </w:r>
          </w:p>
        </w:tc>
        <w:tc>
          <w:tcPr>
            <w:tcW w:w="0" w:type="dxa"/>
            <w:vAlign w:val="center"/>
          </w:tcPr>
          <w:p w14:paraId="3509904A">
            <w:pPr>
              <w:spacing w:line="240" w:lineRule="auto"/>
              <w:jc w:val="right"/>
            </w:pPr>
            <w:r>
              <w:rPr>
                <w:rFonts w:ascii="宋体" w:hAnsi="宋体" w:eastAsia="宋体" w:cs="宋体"/>
                <w:b w:val="0"/>
              </w:rPr>
              <w:t>-33.57%</w:t>
            </w:r>
          </w:p>
        </w:tc>
        <w:tc>
          <w:tcPr>
            <w:tcW w:w="0" w:type="dxa"/>
            <w:vAlign w:val="center"/>
          </w:tcPr>
          <w:p w14:paraId="536C9556">
            <w:pPr>
              <w:spacing w:line="240" w:lineRule="auto"/>
              <w:jc w:val="right"/>
            </w:pPr>
            <w:r>
              <w:rPr>
                <w:rFonts w:ascii="宋体" w:hAnsi="宋体" w:eastAsia="宋体" w:cs="宋体"/>
                <w:b w:val="0"/>
              </w:rPr>
              <w:t>0.93%</w:t>
            </w:r>
          </w:p>
        </w:tc>
      </w:tr>
      <w:tr w14:paraId="4AC52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36E0D08A">
            <w:pPr>
              <w:spacing w:line="240" w:lineRule="auto"/>
              <w:jc w:val="left"/>
            </w:pPr>
            <w:r>
              <w:rPr>
                <w:rFonts w:ascii="宋体" w:hAnsi="宋体" w:eastAsia="宋体" w:cs="宋体"/>
                <w:b w:val="0"/>
              </w:rPr>
              <w:t>自基金合同生效起至今</w:t>
            </w:r>
          </w:p>
        </w:tc>
        <w:tc>
          <w:tcPr>
            <w:tcW w:w="0" w:type="dxa"/>
            <w:vAlign w:val="center"/>
          </w:tcPr>
          <w:p w14:paraId="7722521D">
            <w:pPr>
              <w:spacing w:line="240" w:lineRule="auto"/>
              <w:jc w:val="right"/>
            </w:pPr>
            <w:r>
              <w:rPr>
                <w:rFonts w:ascii="宋体" w:hAnsi="宋体" w:eastAsia="宋体" w:cs="宋体"/>
                <w:b w:val="0"/>
              </w:rPr>
              <w:t>-52.67%</w:t>
            </w:r>
          </w:p>
        </w:tc>
        <w:tc>
          <w:tcPr>
            <w:tcW w:w="0" w:type="dxa"/>
            <w:vAlign w:val="center"/>
          </w:tcPr>
          <w:p w14:paraId="63DB9207">
            <w:pPr>
              <w:spacing w:line="240" w:lineRule="auto"/>
              <w:jc w:val="right"/>
            </w:pPr>
            <w:r>
              <w:rPr>
                <w:rFonts w:ascii="宋体" w:hAnsi="宋体" w:eastAsia="宋体" w:cs="宋体"/>
                <w:b w:val="0"/>
              </w:rPr>
              <w:t>1.82%</w:t>
            </w:r>
          </w:p>
        </w:tc>
        <w:tc>
          <w:tcPr>
            <w:tcW w:w="0" w:type="dxa"/>
            <w:vAlign w:val="center"/>
          </w:tcPr>
          <w:p w14:paraId="746F8BF8">
            <w:pPr>
              <w:spacing w:line="240" w:lineRule="auto"/>
              <w:jc w:val="right"/>
            </w:pPr>
            <w:r>
              <w:rPr>
                <w:rFonts w:ascii="宋体" w:hAnsi="宋体" w:eastAsia="宋体" w:cs="宋体"/>
                <w:b w:val="0"/>
              </w:rPr>
              <w:t>-13.94%</w:t>
            </w:r>
          </w:p>
        </w:tc>
        <w:tc>
          <w:tcPr>
            <w:tcW w:w="0" w:type="dxa"/>
            <w:vAlign w:val="center"/>
          </w:tcPr>
          <w:p w14:paraId="6EC2973E">
            <w:pPr>
              <w:spacing w:line="240" w:lineRule="auto"/>
              <w:jc w:val="right"/>
            </w:pPr>
            <w:r>
              <w:rPr>
                <w:rFonts w:ascii="宋体" w:hAnsi="宋体" w:eastAsia="宋体" w:cs="宋体"/>
                <w:b w:val="0"/>
              </w:rPr>
              <w:t>1.02%</w:t>
            </w:r>
          </w:p>
        </w:tc>
        <w:tc>
          <w:tcPr>
            <w:tcW w:w="0" w:type="dxa"/>
            <w:vAlign w:val="center"/>
          </w:tcPr>
          <w:p w14:paraId="53C8889D">
            <w:pPr>
              <w:spacing w:line="240" w:lineRule="auto"/>
              <w:jc w:val="right"/>
            </w:pPr>
            <w:r>
              <w:rPr>
                <w:rFonts w:ascii="宋体" w:hAnsi="宋体" w:eastAsia="宋体" w:cs="宋体"/>
                <w:b w:val="0"/>
              </w:rPr>
              <w:t>-38.73%</w:t>
            </w:r>
          </w:p>
        </w:tc>
        <w:tc>
          <w:tcPr>
            <w:tcW w:w="0" w:type="dxa"/>
            <w:vAlign w:val="center"/>
          </w:tcPr>
          <w:p w14:paraId="3DF5E89C">
            <w:pPr>
              <w:spacing w:line="240" w:lineRule="auto"/>
              <w:jc w:val="right"/>
            </w:pPr>
            <w:r>
              <w:rPr>
                <w:rFonts w:ascii="宋体" w:hAnsi="宋体" w:eastAsia="宋体" w:cs="宋体"/>
                <w:b w:val="0"/>
              </w:rPr>
              <w:t>0.80%</w:t>
            </w:r>
          </w:p>
        </w:tc>
      </w:tr>
    </w:tbl>
    <w:p w14:paraId="5B4E243F">
      <w:pPr>
        <w:jc w:val="left"/>
      </w:pPr>
      <w:r>
        <w:rPr>
          <w:rFonts w:ascii="宋体" w:hAnsi="宋体" w:eastAsia="宋体" w:cs="宋体"/>
          <w:b/>
        </w:rPr>
        <w:t>东方阿尔法招阳混合E净值表现</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71"/>
        <w:gridCol w:w="1285"/>
        <w:gridCol w:w="1286"/>
        <w:gridCol w:w="1286"/>
        <w:gridCol w:w="1286"/>
        <w:gridCol w:w="1286"/>
        <w:gridCol w:w="1286"/>
      </w:tblGrid>
      <w:tr w14:paraId="7905B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pct"/>
            <w:shd w:val="clear" w:color="auto" w:fill="D9D9D9"/>
            <w:vAlign w:val="center"/>
          </w:tcPr>
          <w:p w14:paraId="73764D0B">
            <w:pPr>
              <w:spacing w:line="240" w:lineRule="auto"/>
              <w:jc w:val="center"/>
            </w:pPr>
            <w:r>
              <w:rPr>
                <w:rFonts w:ascii="宋体" w:hAnsi="宋体" w:eastAsia="宋体" w:cs="宋体"/>
                <w:b w:val="0"/>
              </w:rPr>
              <w:t>阶段</w:t>
            </w:r>
          </w:p>
        </w:tc>
        <w:tc>
          <w:tcPr>
            <w:tcW w:w="692" w:type="pct"/>
            <w:shd w:val="clear" w:color="auto" w:fill="D9D9D9"/>
            <w:vAlign w:val="center"/>
          </w:tcPr>
          <w:p w14:paraId="2911DB38">
            <w:pPr>
              <w:spacing w:line="240" w:lineRule="auto"/>
              <w:jc w:val="center"/>
            </w:pPr>
            <w:r>
              <w:rPr>
                <w:rFonts w:ascii="宋体" w:hAnsi="宋体" w:eastAsia="宋体" w:cs="宋体"/>
                <w:b w:val="0"/>
              </w:rPr>
              <w:t>净值增长率①</w:t>
            </w:r>
          </w:p>
        </w:tc>
        <w:tc>
          <w:tcPr>
            <w:tcW w:w="692" w:type="pct"/>
            <w:shd w:val="clear" w:color="auto" w:fill="D9D9D9"/>
            <w:vAlign w:val="center"/>
          </w:tcPr>
          <w:p w14:paraId="5F069232">
            <w:pPr>
              <w:spacing w:line="240" w:lineRule="auto"/>
              <w:jc w:val="center"/>
            </w:pPr>
            <w:r>
              <w:rPr>
                <w:rFonts w:ascii="宋体" w:hAnsi="宋体" w:eastAsia="宋体" w:cs="宋体"/>
                <w:b w:val="0"/>
              </w:rPr>
              <w:t>净值增长率标准差②</w:t>
            </w:r>
          </w:p>
        </w:tc>
        <w:tc>
          <w:tcPr>
            <w:tcW w:w="692" w:type="pct"/>
            <w:shd w:val="clear" w:color="auto" w:fill="D9D9D9"/>
            <w:vAlign w:val="center"/>
          </w:tcPr>
          <w:p w14:paraId="4EB90DFC">
            <w:pPr>
              <w:spacing w:line="240" w:lineRule="auto"/>
              <w:jc w:val="center"/>
            </w:pPr>
            <w:r>
              <w:rPr>
                <w:rFonts w:ascii="宋体" w:hAnsi="宋体" w:eastAsia="宋体" w:cs="宋体"/>
                <w:b w:val="0"/>
              </w:rPr>
              <w:t>业绩比较基准收益率③</w:t>
            </w:r>
          </w:p>
        </w:tc>
        <w:tc>
          <w:tcPr>
            <w:tcW w:w="692" w:type="pct"/>
            <w:shd w:val="clear" w:color="auto" w:fill="D9D9D9"/>
            <w:vAlign w:val="center"/>
          </w:tcPr>
          <w:p w14:paraId="438A3A25">
            <w:pPr>
              <w:spacing w:line="240" w:lineRule="auto"/>
              <w:jc w:val="center"/>
            </w:pPr>
            <w:r>
              <w:rPr>
                <w:rFonts w:ascii="宋体" w:hAnsi="宋体" w:eastAsia="宋体" w:cs="宋体"/>
                <w:b w:val="0"/>
              </w:rPr>
              <w:t>业绩比较基准收益率标准差④</w:t>
            </w:r>
          </w:p>
        </w:tc>
        <w:tc>
          <w:tcPr>
            <w:tcW w:w="692" w:type="pct"/>
            <w:shd w:val="clear" w:color="auto" w:fill="D9D9D9"/>
            <w:vAlign w:val="center"/>
          </w:tcPr>
          <w:p w14:paraId="20538A64">
            <w:pPr>
              <w:spacing w:line="240" w:lineRule="auto"/>
              <w:jc w:val="center"/>
            </w:pPr>
            <w:r>
              <w:rPr>
                <w:rFonts w:ascii="宋体" w:hAnsi="宋体" w:eastAsia="宋体" w:cs="宋体"/>
                <w:b w:val="0"/>
              </w:rPr>
              <w:t>①-③</w:t>
            </w:r>
          </w:p>
        </w:tc>
        <w:tc>
          <w:tcPr>
            <w:tcW w:w="692" w:type="pct"/>
            <w:shd w:val="clear" w:color="auto" w:fill="D9D9D9"/>
            <w:vAlign w:val="center"/>
          </w:tcPr>
          <w:p w14:paraId="53940749">
            <w:pPr>
              <w:spacing w:line="240" w:lineRule="auto"/>
              <w:jc w:val="center"/>
            </w:pPr>
            <w:r>
              <w:rPr>
                <w:rFonts w:ascii="宋体" w:hAnsi="宋体" w:eastAsia="宋体" w:cs="宋体"/>
                <w:b w:val="0"/>
              </w:rPr>
              <w:t>②-④</w:t>
            </w:r>
          </w:p>
        </w:tc>
      </w:tr>
      <w:tr w14:paraId="1DA45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685E77BC">
            <w:pPr>
              <w:spacing w:line="240" w:lineRule="auto"/>
              <w:jc w:val="left"/>
            </w:pPr>
            <w:r>
              <w:rPr>
                <w:rFonts w:ascii="宋体" w:hAnsi="宋体" w:eastAsia="宋体" w:cs="宋体"/>
                <w:b w:val="0"/>
              </w:rPr>
              <w:t>过去三个月</w:t>
            </w:r>
          </w:p>
        </w:tc>
        <w:tc>
          <w:tcPr>
            <w:tcW w:w="0" w:type="dxa"/>
            <w:vAlign w:val="center"/>
          </w:tcPr>
          <w:p w14:paraId="6555AA3C">
            <w:pPr>
              <w:spacing w:line="240" w:lineRule="auto"/>
              <w:jc w:val="right"/>
            </w:pPr>
            <w:r>
              <w:rPr>
                <w:rFonts w:ascii="宋体" w:hAnsi="宋体" w:eastAsia="宋体" w:cs="宋体"/>
                <w:b w:val="0"/>
              </w:rPr>
              <w:t>7.63%</w:t>
            </w:r>
          </w:p>
        </w:tc>
        <w:tc>
          <w:tcPr>
            <w:tcW w:w="0" w:type="dxa"/>
            <w:vAlign w:val="center"/>
          </w:tcPr>
          <w:p w14:paraId="60C68668">
            <w:pPr>
              <w:spacing w:line="240" w:lineRule="auto"/>
              <w:jc w:val="right"/>
            </w:pPr>
            <w:r>
              <w:rPr>
                <w:rFonts w:ascii="宋体" w:hAnsi="宋体" w:eastAsia="宋体" w:cs="宋体"/>
                <w:b w:val="0"/>
              </w:rPr>
              <w:t>1.91%</w:t>
            </w:r>
          </w:p>
        </w:tc>
        <w:tc>
          <w:tcPr>
            <w:tcW w:w="0" w:type="dxa"/>
            <w:vAlign w:val="center"/>
          </w:tcPr>
          <w:p w14:paraId="43F4F709">
            <w:pPr>
              <w:spacing w:line="240" w:lineRule="auto"/>
              <w:jc w:val="right"/>
            </w:pPr>
            <w:r>
              <w:rPr>
                <w:rFonts w:ascii="宋体" w:hAnsi="宋体" w:eastAsia="宋体" w:cs="宋体"/>
                <w:b w:val="0"/>
              </w:rPr>
              <w:t>1.62%</w:t>
            </w:r>
          </w:p>
        </w:tc>
        <w:tc>
          <w:tcPr>
            <w:tcW w:w="0" w:type="dxa"/>
            <w:vAlign w:val="center"/>
          </w:tcPr>
          <w:p w14:paraId="14FAB567">
            <w:pPr>
              <w:spacing w:line="240" w:lineRule="auto"/>
              <w:jc w:val="right"/>
            </w:pPr>
            <w:r>
              <w:rPr>
                <w:rFonts w:ascii="宋体" w:hAnsi="宋体" w:eastAsia="宋体" w:cs="宋体"/>
                <w:b w:val="0"/>
              </w:rPr>
              <w:t>1.13%</w:t>
            </w:r>
          </w:p>
        </w:tc>
        <w:tc>
          <w:tcPr>
            <w:tcW w:w="0" w:type="dxa"/>
            <w:vAlign w:val="center"/>
          </w:tcPr>
          <w:p w14:paraId="593769EA">
            <w:pPr>
              <w:spacing w:line="240" w:lineRule="auto"/>
              <w:jc w:val="right"/>
            </w:pPr>
            <w:r>
              <w:rPr>
                <w:rFonts w:ascii="宋体" w:hAnsi="宋体" w:eastAsia="宋体" w:cs="宋体"/>
                <w:b w:val="0"/>
              </w:rPr>
              <w:t>6.01%</w:t>
            </w:r>
          </w:p>
        </w:tc>
        <w:tc>
          <w:tcPr>
            <w:tcW w:w="0" w:type="dxa"/>
            <w:vAlign w:val="center"/>
          </w:tcPr>
          <w:p w14:paraId="1F122D76">
            <w:pPr>
              <w:spacing w:line="240" w:lineRule="auto"/>
              <w:jc w:val="right"/>
            </w:pPr>
            <w:r>
              <w:rPr>
                <w:rFonts w:ascii="宋体" w:hAnsi="宋体" w:eastAsia="宋体" w:cs="宋体"/>
                <w:b w:val="0"/>
              </w:rPr>
              <w:t>0.78%</w:t>
            </w:r>
          </w:p>
        </w:tc>
      </w:tr>
      <w:tr w14:paraId="091E4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188E5285">
            <w:pPr>
              <w:spacing w:line="240" w:lineRule="auto"/>
              <w:jc w:val="left"/>
            </w:pPr>
            <w:r>
              <w:rPr>
                <w:rFonts w:ascii="宋体" w:hAnsi="宋体" w:eastAsia="宋体" w:cs="宋体"/>
                <w:b w:val="0"/>
              </w:rPr>
              <w:t>过去六个月</w:t>
            </w:r>
          </w:p>
        </w:tc>
        <w:tc>
          <w:tcPr>
            <w:tcW w:w="0" w:type="dxa"/>
            <w:vAlign w:val="center"/>
          </w:tcPr>
          <w:p w14:paraId="473700A7">
            <w:pPr>
              <w:spacing w:line="240" w:lineRule="auto"/>
              <w:jc w:val="right"/>
            </w:pPr>
            <w:r>
              <w:rPr>
                <w:rFonts w:ascii="宋体" w:hAnsi="宋体" w:eastAsia="宋体" w:cs="宋体"/>
                <w:b w:val="0"/>
              </w:rPr>
              <w:t>-2.07%</w:t>
            </w:r>
          </w:p>
        </w:tc>
        <w:tc>
          <w:tcPr>
            <w:tcW w:w="0" w:type="dxa"/>
            <w:vAlign w:val="center"/>
          </w:tcPr>
          <w:p w14:paraId="27B4385D">
            <w:pPr>
              <w:spacing w:line="240" w:lineRule="auto"/>
              <w:jc w:val="right"/>
            </w:pPr>
            <w:r>
              <w:rPr>
                <w:rFonts w:ascii="宋体" w:hAnsi="宋体" w:eastAsia="宋体" w:cs="宋体"/>
                <w:b w:val="0"/>
              </w:rPr>
              <w:t>1.93%</w:t>
            </w:r>
          </w:p>
        </w:tc>
        <w:tc>
          <w:tcPr>
            <w:tcW w:w="0" w:type="dxa"/>
            <w:vAlign w:val="center"/>
          </w:tcPr>
          <w:p w14:paraId="3BFCB26A">
            <w:pPr>
              <w:spacing w:line="240" w:lineRule="auto"/>
              <w:jc w:val="right"/>
            </w:pPr>
            <w:r>
              <w:rPr>
                <w:rFonts w:ascii="宋体" w:hAnsi="宋体" w:eastAsia="宋体" w:cs="宋体"/>
                <w:b w:val="0"/>
              </w:rPr>
              <w:t>2.82%</w:t>
            </w:r>
          </w:p>
        </w:tc>
        <w:tc>
          <w:tcPr>
            <w:tcW w:w="0" w:type="dxa"/>
            <w:vAlign w:val="center"/>
          </w:tcPr>
          <w:p w14:paraId="548D8F7E">
            <w:pPr>
              <w:spacing w:line="240" w:lineRule="auto"/>
              <w:jc w:val="right"/>
            </w:pPr>
            <w:r>
              <w:rPr>
                <w:rFonts w:ascii="宋体" w:hAnsi="宋体" w:eastAsia="宋体" w:cs="宋体"/>
                <w:b w:val="0"/>
              </w:rPr>
              <w:t>1.02%</w:t>
            </w:r>
          </w:p>
        </w:tc>
        <w:tc>
          <w:tcPr>
            <w:tcW w:w="0" w:type="dxa"/>
            <w:vAlign w:val="center"/>
          </w:tcPr>
          <w:p w14:paraId="0287B28B">
            <w:pPr>
              <w:spacing w:line="240" w:lineRule="auto"/>
              <w:jc w:val="right"/>
            </w:pPr>
            <w:r>
              <w:rPr>
                <w:rFonts w:ascii="宋体" w:hAnsi="宋体" w:eastAsia="宋体" w:cs="宋体"/>
                <w:b w:val="0"/>
              </w:rPr>
              <w:t>-4.89%</w:t>
            </w:r>
          </w:p>
        </w:tc>
        <w:tc>
          <w:tcPr>
            <w:tcW w:w="0" w:type="dxa"/>
            <w:vAlign w:val="center"/>
          </w:tcPr>
          <w:p w14:paraId="18F7407E">
            <w:pPr>
              <w:spacing w:line="240" w:lineRule="auto"/>
              <w:jc w:val="right"/>
            </w:pPr>
            <w:r>
              <w:rPr>
                <w:rFonts w:ascii="宋体" w:hAnsi="宋体" w:eastAsia="宋体" w:cs="宋体"/>
                <w:b w:val="0"/>
              </w:rPr>
              <w:t>0.91%</w:t>
            </w:r>
          </w:p>
        </w:tc>
      </w:tr>
      <w:tr w14:paraId="270A9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268548E0">
            <w:pPr>
              <w:spacing w:line="240" w:lineRule="auto"/>
              <w:jc w:val="left"/>
            </w:pPr>
            <w:r>
              <w:rPr>
                <w:rFonts w:ascii="宋体" w:hAnsi="宋体" w:eastAsia="宋体" w:cs="宋体"/>
                <w:b w:val="0"/>
              </w:rPr>
              <w:t>过去一年</w:t>
            </w:r>
          </w:p>
        </w:tc>
        <w:tc>
          <w:tcPr>
            <w:tcW w:w="0" w:type="dxa"/>
            <w:vAlign w:val="center"/>
          </w:tcPr>
          <w:p w14:paraId="0A6117D6">
            <w:pPr>
              <w:spacing w:line="240" w:lineRule="auto"/>
              <w:jc w:val="right"/>
            </w:pPr>
            <w:r>
              <w:rPr>
                <w:rFonts w:ascii="宋体" w:hAnsi="宋体" w:eastAsia="宋体" w:cs="宋体"/>
                <w:b w:val="0"/>
              </w:rPr>
              <w:t>13.57%</w:t>
            </w:r>
          </w:p>
        </w:tc>
        <w:tc>
          <w:tcPr>
            <w:tcW w:w="0" w:type="dxa"/>
            <w:vAlign w:val="center"/>
          </w:tcPr>
          <w:p w14:paraId="42F8B342">
            <w:pPr>
              <w:spacing w:line="240" w:lineRule="auto"/>
              <w:jc w:val="right"/>
            </w:pPr>
            <w:r>
              <w:rPr>
                <w:rFonts w:ascii="宋体" w:hAnsi="宋体" w:eastAsia="宋体" w:cs="宋体"/>
                <w:b w:val="0"/>
              </w:rPr>
              <w:t>2.14%</w:t>
            </w:r>
          </w:p>
        </w:tc>
        <w:tc>
          <w:tcPr>
            <w:tcW w:w="0" w:type="dxa"/>
            <w:vAlign w:val="center"/>
          </w:tcPr>
          <w:p w14:paraId="1B121865">
            <w:pPr>
              <w:spacing w:line="240" w:lineRule="auto"/>
              <w:jc w:val="right"/>
            </w:pPr>
            <w:r>
              <w:rPr>
                <w:rFonts w:ascii="宋体" w:hAnsi="宋体" w:eastAsia="宋体" w:cs="宋体"/>
                <w:b w:val="0"/>
              </w:rPr>
              <w:t>16.53%</w:t>
            </w:r>
          </w:p>
        </w:tc>
        <w:tc>
          <w:tcPr>
            <w:tcW w:w="0" w:type="dxa"/>
            <w:vAlign w:val="center"/>
          </w:tcPr>
          <w:p w14:paraId="75B5EED5">
            <w:pPr>
              <w:spacing w:line="240" w:lineRule="auto"/>
              <w:jc w:val="right"/>
            </w:pPr>
            <w:r>
              <w:rPr>
                <w:rFonts w:ascii="宋体" w:hAnsi="宋体" w:eastAsia="宋体" w:cs="宋体"/>
                <w:b w:val="0"/>
              </w:rPr>
              <w:t>1.27%</w:t>
            </w:r>
          </w:p>
        </w:tc>
        <w:tc>
          <w:tcPr>
            <w:tcW w:w="0" w:type="dxa"/>
            <w:vAlign w:val="center"/>
          </w:tcPr>
          <w:p w14:paraId="43448907">
            <w:pPr>
              <w:spacing w:line="240" w:lineRule="auto"/>
              <w:jc w:val="right"/>
            </w:pPr>
            <w:r>
              <w:rPr>
                <w:rFonts w:ascii="宋体" w:hAnsi="宋体" w:eastAsia="宋体" w:cs="宋体"/>
                <w:b w:val="0"/>
              </w:rPr>
              <w:t>-2.96%</w:t>
            </w:r>
          </w:p>
        </w:tc>
        <w:tc>
          <w:tcPr>
            <w:tcW w:w="0" w:type="dxa"/>
            <w:vAlign w:val="center"/>
          </w:tcPr>
          <w:p w14:paraId="5F57D9EB">
            <w:pPr>
              <w:spacing w:line="240" w:lineRule="auto"/>
              <w:jc w:val="right"/>
            </w:pPr>
            <w:r>
              <w:rPr>
                <w:rFonts w:ascii="宋体" w:hAnsi="宋体" w:eastAsia="宋体" w:cs="宋体"/>
                <w:b w:val="0"/>
              </w:rPr>
              <w:t>0.87%</w:t>
            </w:r>
          </w:p>
        </w:tc>
      </w:tr>
      <w:tr w14:paraId="7E804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4A1726BB">
            <w:pPr>
              <w:spacing w:line="240" w:lineRule="auto"/>
              <w:jc w:val="left"/>
            </w:pPr>
            <w:r>
              <w:rPr>
                <w:rFonts w:ascii="宋体" w:hAnsi="宋体" w:eastAsia="宋体" w:cs="宋体"/>
                <w:b w:val="0"/>
              </w:rPr>
              <w:t>自基金合同生效起至今</w:t>
            </w:r>
          </w:p>
        </w:tc>
        <w:tc>
          <w:tcPr>
            <w:tcW w:w="0" w:type="dxa"/>
            <w:vAlign w:val="center"/>
          </w:tcPr>
          <w:p w14:paraId="68ACA787">
            <w:pPr>
              <w:spacing w:line="240" w:lineRule="auto"/>
              <w:jc w:val="right"/>
            </w:pPr>
            <w:r>
              <w:rPr>
                <w:rFonts w:ascii="宋体" w:hAnsi="宋体" w:eastAsia="宋体" w:cs="宋体"/>
                <w:b w:val="0"/>
              </w:rPr>
              <w:t>-25.54%</w:t>
            </w:r>
          </w:p>
        </w:tc>
        <w:tc>
          <w:tcPr>
            <w:tcW w:w="0" w:type="dxa"/>
            <w:vAlign w:val="center"/>
          </w:tcPr>
          <w:p w14:paraId="655C20D3">
            <w:pPr>
              <w:spacing w:line="240" w:lineRule="auto"/>
              <w:jc w:val="right"/>
            </w:pPr>
            <w:r>
              <w:rPr>
                <w:rFonts w:ascii="宋体" w:hAnsi="宋体" w:eastAsia="宋体" w:cs="宋体"/>
                <w:b w:val="0"/>
              </w:rPr>
              <w:t>2.01%</w:t>
            </w:r>
          </w:p>
        </w:tc>
        <w:tc>
          <w:tcPr>
            <w:tcW w:w="0" w:type="dxa"/>
            <w:vAlign w:val="center"/>
          </w:tcPr>
          <w:p w14:paraId="560E4615">
            <w:pPr>
              <w:spacing w:line="240" w:lineRule="auto"/>
              <w:jc w:val="right"/>
            </w:pPr>
            <w:r>
              <w:rPr>
                <w:rFonts w:ascii="宋体" w:hAnsi="宋体" w:eastAsia="宋体" w:cs="宋体"/>
                <w:b w:val="0"/>
              </w:rPr>
              <w:t>2.03%</w:t>
            </w:r>
          </w:p>
        </w:tc>
        <w:tc>
          <w:tcPr>
            <w:tcW w:w="0" w:type="dxa"/>
            <w:vAlign w:val="center"/>
          </w:tcPr>
          <w:p w14:paraId="1BDB1F14">
            <w:pPr>
              <w:spacing w:line="240" w:lineRule="auto"/>
              <w:jc w:val="right"/>
            </w:pPr>
            <w:r>
              <w:rPr>
                <w:rFonts w:ascii="宋体" w:hAnsi="宋体" w:eastAsia="宋体" w:cs="宋体"/>
                <w:b w:val="0"/>
              </w:rPr>
              <w:t>1.05%</w:t>
            </w:r>
          </w:p>
        </w:tc>
        <w:tc>
          <w:tcPr>
            <w:tcW w:w="0" w:type="dxa"/>
            <w:vAlign w:val="center"/>
          </w:tcPr>
          <w:p w14:paraId="0E5D9D13">
            <w:pPr>
              <w:spacing w:line="240" w:lineRule="auto"/>
              <w:jc w:val="right"/>
            </w:pPr>
            <w:r>
              <w:rPr>
                <w:rFonts w:ascii="宋体" w:hAnsi="宋体" w:eastAsia="宋体" w:cs="宋体"/>
                <w:b w:val="0"/>
              </w:rPr>
              <w:t>-27.57%</w:t>
            </w:r>
          </w:p>
        </w:tc>
        <w:tc>
          <w:tcPr>
            <w:tcW w:w="0" w:type="dxa"/>
            <w:vAlign w:val="center"/>
          </w:tcPr>
          <w:p w14:paraId="6560A2F1">
            <w:pPr>
              <w:spacing w:line="240" w:lineRule="auto"/>
              <w:jc w:val="right"/>
            </w:pPr>
            <w:r>
              <w:rPr>
                <w:rFonts w:ascii="宋体" w:hAnsi="宋体" w:eastAsia="宋体" w:cs="宋体"/>
                <w:b w:val="0"/>
              </w:rPr>
              <w:t>0.96%</w:t>
            </w:r>
          </w:p>
        </w:tc>
      </w:tr>
    </w:tbl>
    <w:p w14:paraId="0BA95906">
      <w:r>
        <w:rPr>
          <w:rFonts w:ascii="宋体" w:hAnsi="宋体" w:eastAsia="宋体" w:cs="宋体"/>
          <w:b w:val="0"/>
        </w:rPr>
        <w:t>注：1、本基金成立于2021年3月17日。自2023年5月10日起，本基金增设E类份额类别，份额首次确认日为2023年5月11日，增设当期的相关数据和指标按实际存续期计算。</w:t>
      </w:r>
      <w:r>
        <w:rPr>
          <w:rFonts w:ascii="宋体" w:hAnsi="宋体" w:eastAsia="宋体" w:cs="宋体"/>
          <w:b w:val="0"/>
        </w:rPr>
        <w:cr/>
      </w:r>
      <w:r>
        <w:rPr>
          <w:rFonts w:ascii="宋体" w:hAnsi="宋体" w:eastAsia="宋体" w:cs="宋体"/>
          <w:b w:val="0"/>
        </w:rPr>
        <w:t>2、本基金的业绩比较基准为：中证800指数收益率×80%+中证综合债券指数收益率×10%+恒生指数收益率×10%。</w:t>
      </w:r>
    </w:p>
    <w:p w14:paraId="58524DD9"/>
    <w:p w14:paraId="5758E355">
      <w:r>
        <w:rPr>
          <w:rFonts w:ascii="宋体" w:hAnsi="宋体" w:eastAsia="宋体" w:cs="宋体"/>
          <w:b/>
        </w:rPr>
        <w:t>3.2.2 自基金合同生效以来基金累计净值增长率变动及其与同期业绩比较基准收益率变动的比较</w:t>
      </w:r>
    </w:p>
    <w:p w14:paraId="2E20D0B6">
      <w:r>
        <w:drawing>
          <wp:inline distT="0" distB="0" distL="0" distR="0">
            <wp:extent cx="5715000" cy="3048000"/>
            <wp:effectExtent l="0" t="0" r="0" b="0"/>
            <wp:docPr id="1" name="Drawing 1"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awing 1" descr="Generated"/>
                    <pic:cNvPicPr>
                      <a:picLocks noChangeAspect="1"/>
                    </pic:cNvPicPr>
                  </pic:nvPicPr>
                  <pic:blipFill>
                    <a:blip r:embed="rId12"/>
                    <a:stretch>
                      <a:fillRect/>
                    </a:stretch>
                  </pic:blipFill>
                  <pic:spPr>
                    <a:xfrm>
                      <a:off x="0" y="0"/>
                      <a:ext cx="5715000" cy="3048000"/>
                    </a:xfrm>
                    <a:prstGeom prst="rect">
                      <a:avLst/>
                    </a:prstGeom>
                  </pic:spPr>
                </pic:pic>
              </a:graphicData>
            </a:graphic>
          </wp:inline>
        </w:drawing>
      </w:r>
    </w:p>
    <w:p w14:paraId="56A19E1E">
      <w:r>
        <w:drawing>
          <wp:inline distT="0" distB="0" distL="0" distR="0">
            <wp:extent cx="5715000" cy="3048000"/>
            <wp:effectExtent l="0" t="0" r="0" b="0"/>
            <wp:docPr id="2" name="Drawing 2"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rawing 2" descr="Generated"/>
                    <pic:cNvPicPr>
                      <a:picLocks noChangeAspect="1"/>
                    </pic:cNvPicPr>
                  </pic:nvPicPr>
                  <pic:blipFill>
                    <a:blip r:embed="rId13"/>
                    <a:stretch>
                      <a:fillRect/>
                    </a:stretch>
                  </pic:blipFill>
                  <pic:spPr>
                    <a:xfrm>
                      <a:off x="0" y="0"/>
                      <a:ext cx="5715000" cy="3048000"/>
                    </a:xfrm>
                    <a:prstGeom prst="rect">
                      <a:avLst/>
                    </a:prstGeom>
                  </pic:spPr>
                </pic:pic>
              </a:graphicData>
            </a:graphic>
          </wp:inline>
        </w:drawing>
      </w:r>
    </w:p>
    <w:p w14:paraId="21AC00FD">
      <w:r>
        <w:drawing>
          <wp:inline distT="0" distB="0" distL="0" distR="0">
            <wp:extent cx="5715000" cy="3048000"/>
            <wp:effectExtent l="0" t="0" r="0" b="0"/>
            <wp:docPr id="3" name="Drawing 3"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rawing 3" descr="Generated"/>
                    <pic:cNvPicPr>
                      <a:picLocks noChangeAspect="1"/>
                    </pic:cNvPicPr>
                  </pic:nvPicPr>
                  <pic:blipFill>
                    <a:blip r:embed="rId14"/>
                    <a:stretch>
                      <a:fillRect/>
                    </a:stretch>
                  </pic:blipFill>
                  <pic:spPr>
                    <a:xfrm>
                      <a:off x="0" y="0"/>
                      <a:ext cx="5715000" cy="3048000"/>
                    </a:xfrm>
                    <a:prstGeom prst="rect">
                      <a:avLst/>
                    </a:prstGeom>
                  </pic:spPr>
                </pic:pic>
              </a:graphicData>
            </a:graphic>
          </wp:inline>
        </w:drawing>
      </w:r>
    </w:p>
    <w:p w14:paraId="285B6D12">
      <w:r>
        <w:rPr>
          <w:rFonts w:ascii="宋体" w:hAnsi="宋体" w:eastAsia="宋体" w:cs="宋体"/>
          <w:b w:val="0"/>
        </w:rPr>
        <w:t>注：自2023年5月10日起，本基金增设E类份额类别，份额首次确认日为2023年5月11日，增设当期的相关数据和指标按实际存续期计算。</w:t>
      </w:r>
    </w:p>
    <w:p w14:paraId="0B6905F7"/>
    <w:p w14:paraId="49A45159"/>
    <w:p w14:paraId="4406ADFA">
      <w:pPr>
        <w:pStyle w:val="3"/>
        <w:jc w:val="left"/>
      </w:pPr>
      <w:r>
        <w:rPr>
          <w:rFonts w:ascii="宋体" w:hAnsi="宋体" w:eastAsia="宋体" w:cs="宋体"/>
        </w:rPr>
        <w:t>3.3 其他指标</w:t>
      </w:r>
    </w:p>
    <w:p w14:paraId="455B9F51">
      <w:r>
        <w:rPr>
          <w:rFonts w:ascii="宋体" w:hAnsi="宋体" w:eastAsia="宋体" w:cs="宋体"/>
          <w:b w:val="0"/>
        </w:rPr>
        <w:t xml:space="preserve">    无。</w:t>
      </w:r>
    </w:p>
    <w:p w14:paraId="7C737593">
      <w:pPr>
        <w:pStyle w:val="2"/>
        <w:jc w:val="center"/>
      </w:pPr>
      <w:r>
        <w:rPr>
          <w:rFonts w:ascii="宋体" w:hAnsi="宋体" w:eastAsia="宋体" w:cs="宋体"/>
        </w:rPr>
        <w:t>§4 管理人报告</w:t>
      </w:r>
    </w:p>
    <w:p w14:paraId="3EA96F66">
      <w:pPr>
        <w:pStyle w:val="3"/>
        <w:jc w:val="left"/>
      </w:pPr>
      <w:r>
        <w:rPr>
          <w:rFonts w:ascii="宋体" w:hAnsi="宋体" w:eastAsia="宋体" w:cs="宋体"/>
        </w:rPr>
        <w:t>4.1 基金经理（或基金经理小组）简介</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7"/>
        <w:gridCol w:w="2428"/>
        <w:gridCol w:w="1266"/>
        <w:gridCol w:w="1266"/>
        <w:gridCol w:w="457"/>
        <w:gridCol w:w="2922"/>
      </w:tblGrid>
      <w:tr w14:paraId="080B8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pct"/>
            <w:vMerge w:val="restart"/>
            <w:shd w:val="clear" w:color="auto" w:fill="D9D9D9"/>
            <w:vAlign w:val="center"/>
          </w:tcPr>
          <w:p w14:paraId="3AA1AF1A">
            <w:pPr>
              <w:spacing w:line="240" w:lineRule="auto"/>
              <w:jc w:val="center"/>
            </w:pPr>
            <w:r>
              <w:rPr>
                <w:rFonts w:ascii="宋体" w:hAnsi="宋体" w:eastAsia="宋体" w:cs="宋体"/>
                <w:b w:val="0"/>
              </w:rPr>
              <w:t>姓名</w:t>
            </w:r>
          </w:p>
        </w:tc>
        <w:tc>
          <w:tcPr>
            <w:tcW w:w="1231" w:type="pct"/>
            <w:vMerge w:val="restart"/>
            <w:shd w:val="clear" w:color="auto" w:fill="D9D9D9"/>
            <w:vAlign w:val="center"/>
          </w:tcPr>
          <w:p w14:paraId="42772B7E">
            <w:pPr>
              <w:spacing w:line="240" w:lineRule="auto"/>
              <w:jc w:val="center"/>
            </w:pPr>
            <w:r>
              <w:rPr>
                <w:rFonts w:ascii="宋体" w:hAnsi="宋体" w:eastAsia="宋体" w:cs="宋体"/>
                <w:b w:val="0"/>
              </w:rPr>
              <w:t>职务</w:t>
            </w:r>
          </w:p>
        </w:tc>
        <w:tc>
          <w:tcPr>
            <w:tcW w:w="808" w:type="pct"/>
            <w:gridSpan w:val="2"/>
            <w:shd w:val="clear" w:color="auto" w:fill="D9D9D9"/>
            <w:vAlign w:val="center"/>
          </w:tcPr>
          <w:p w14:paraId="70E35875">
            <w:pPr>
              <w:spacing w:line="240" w:lineRule="auto"/>
              <w:jc w:val="center"/>
            </w:pPr>
            <w:r>
              <w:rPr>
                <w:rFonts w:ascii="宋体" w:hAnsi="宋体" w:eastAsia="宋体" w:cs="宋体"/>
                <w:b w:val="0"/>
              </w:rPr>
              <w:t>任本基金的基金经理期限</w:t>
            </w:r>
          </w:p>
        </w:tc>
        <w:tc>
          <w:tcPr>
            <w:tcW w:w="308" w:type="pct"/>
            <w:vMerge w:val="restart"/>
            <w:shd w:val="clear" w:color="auto" w:fill="D9D9D9"/>
            <w:vAlign w:val="center"/>
          </w:tcPr>
          <w:p w14:paraId="42A6EAF9">
            <w:pPr>
              <w:spacing w:line="240" w:lineRule="auto"/>
              <w:jc w:val="center"/>
            </w:pPr>
            <w:r>
              <w:rPr>
                <w:rFonts w:ascii="宋体" w:hAnsi="宋体" w:eastAsia="宋体" w:cs="宋体"/>
                <w:b w:val="0"/>
              </w:rPr>
              <w:t>证券从业年限</w:t>
            </w:r>
          </w:p>
        </w:tc>
        <w:tc>
          <w:tcPr>
            <w:tcW w:w="1462" w:type="pct"/>
            <w:vMerge w:val="restart"/>
            <w:shd w:val="clear" w:color="auto" w:fill="D9D9D9"/>
            <w:vAlign w:val="center"/>
          </w:tcPr>
          <w:p w14:paraId="4D2C9D0B">
            <w:pPr>
              <w:spacing w:line="240" w:lineRule="auto"/>
              <w:jc w:val="center"/>
            </w:pPr>
            <w:r>
              <w:rPr>
                <w:rFonts w:ascii="宋体" w:hAnsi="宋体" w:eastAsia="宋体" w:cs="宋体"/>
                <w:b w:val="0"/>
              </w:rPr>
              <w:t>说明</w:t>
            </w:r>
          </w:p>
        </w:tc>
      </w:tr>
      <w:tr w14:paraId="15968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vMerge w:val="continue"/>
          </w:tcPr>
          <w:p w14:paraId="0F107B4B"/>
        </w:tc>
        <w:tc>
          <w:tcPr>
            <w:vMerge w:val="continue"/>
          </w:tcPr>
          <w:p w14:paraId="78DCEF3E"/>
        </w:tc>
        <w:tc>
          <w:tcPr>
            <w:tcW w:w="400" w:type="pct"/>
            <w:shd w:val="clear" w:color="auto" w:fill="D9D9D9"/>
            <w:vAlign w:val="center"/>
          </w:tcPr>
          <w:p w14:paraId="0B8DC0B0">
            <w:pPr>
              <w:spacing w:line="240" w:lineRule="auto"/>
              <w:jc w:val="center"/>
            </w:pPr>
            <w:r>
              <w:rPr>
                <w:rFonts w:ascii="宋体" w:hAnsi="宋体" w:eastAsia="宋体" w:cs="宋体"/>
                <w:b w:val="0"/>
              </w:rPr>
              <w:t>任职日期</w:t>
            </w:r>
          </w:p>
        </w:tc>
        <w:tc>
          <w:tcPr>
            <w:tcW w:w="392" w:type="pct"/>
            <w:shd w:val="clear" w:color="auto" w:fill="D9D9D9"/>
            <w:vAlign w:val="center"/>
          </w:tcPr>
          <w:p w14:paraId="6FD5E5FA">
            <w:pPr>
              <w:spacing w:line="240" w:lineRule="auto"/>
              <w:jc w:val="center"/>
            </w:pPr>
            <w:r>
              <w:rPr>
                <w:rFonts w:ascii="宋体" w:hAnsi="宋体" w:eastAsia="宋体" w:cs="宋体"/>
                <w:b w:val="0"/>
              </w:rPr>
              <w:t>离任日期</w:t>
            </w:r>
          </w:p>
        </w:tc>
        <w:tc>
          <w:tcPr>
            <w:vMerge w:val="continue"/>
          </w:tcPr>
          <w:p w14:paraId="505B4C4E"/>
        </w:tc>
        <w:tc>
          <w:tcPr>
            <w:vMerge w:val="continue"/>
          </w:tcPr>
          <w:p w14:paraId="2C454B2F"/>
        </w:tc>
      </w:tr>
      <w:tr w14:paraId="689BC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1E58A7BA">
            <w:pPr>
              <w:spacing w:line="240" w:lineRule="auto"/>
              <w:jc w:val="left"/>
            </w:pPr>
            <w:r>
              <w:rPr>
                <w:rFonts w:ascii="宋体" w:hAnsi="宋体" w:eastAsia="宋体" w:cs="宋体"/>
                <w:b w:val="0"/>
              </w:rPr>
              <w:t>潘令梓</w:t>
            </w:r>
          </w:p>
        </w:tc>
        <w:tc>
          <w:tcPr>
            <w:tcW w:w="0" w:type="dxa"/>
            <w:vAlign w:val="center"/>
          </w:tcPr>
          <w:p w14:paraId="7D4CBCBD">
            <w:pPr>
              <w:spacing w:line="240" w:lineRule="auto"/>
              <w:jc w:val="left"/>
            </w:pPr>
            <w:r>
              <w:rPr>
                <w:rFonts w:ascii="宋体" w:hAnsi="宋体" w:eastAsia="宋体" w:cs="宋体"/>
                <w:b w:val="0"/>
              </w:rPr>
              <w:t>基金经理</w:t>
            </w:r>
          </w:p>
        </w:tc>
        <w:tc>
          <w:tcPr>
            <w:tcW w:w="0" w:type="dxa"/>
            <w:vAlign w:val="center"/>
          </w:tcPr>
          <w:p w14:paraId="3C577619">
            <w:pPr>
              <w:spacing w:line="240" w:lineRule="auto"/>
              <w:jc w:val="center"/>
            </w:pPr>
            <w:r>
              <w:rPr>
                <w:rFonts w:ascii="宋体" w:hAnsi="宋体" w:eastAsia="宋体" w:cs="宋体"/>
                <w:b w:val="0"/>
              </w:rPr>
              <w:t>2024-11-19</w:t>
            </w:r>
          </w:p>
        </w:tc>
        <w:tc>
          <w:tcPr>
            <w:tcW w:w="0" w:type="dxa"/>
            <w:vAlign w:val="center"/>
          </w:tcPr>
          <w:p w14:paraId="0E67999C">
            <w:pPr>
              <w:spacing w:line="240" w:lineRule="auto"/>
              <w:jc w:val="center"/>
            </w:pPr>
            <w:r>
              <w:rPr>
                <w:rFonts w:ascii="宋体" w:hAnsi="宋体" w:eastAsia="宋体" w:cs="宋体"/>
                <w:b w:val="0"/>
              </w:rPr>
              <w:t>-</w:t>
            </w:r>
          </w:p>
        </w:tc>
        <w:tc>
          <w:tcPr>
            <w:tcW w:w="0" w:type="dxa"/>
            <w:vAlign w:val="center"/>
          </w:tcPr>
          <w:p w14:paraId="37B05B32">
            <w:pPr>
              <w:spacing w:line="240" w:lineRule="auto"/>
              <w:jc w:val="center"/>
            </w:pPr>
            <w:r>
              <w:rPr>
                <w:rFonts w:ascii="宋体" w:hAnsi="宋体" w:eastAsia="宋体" w:cs="宋体"/>
                <w:b w:val="0"/>
              </w:rPr>
              <w:t>6年</w:t>
            </w:r>
          </w:p>
        </w:tc>
        <w:tc>
          <w:tcPr>
            <w:tcW w:w="0" w:type="dxa"/>
            <w:vAlign w:val="center"/>
          </w:tcPr>
          <w:p w14:paraId="69862247">
            <w:pPr>
              <w:spacing w:line="240" w:lineRule="auto"/>
              <w:jc w:val="left"/>
            </w:pPr>
            <w:r>
              <w:rPr>
                <w:rFonts w:ascii="宋体" w:hAnsi="宋体" w:eastAsia="宋体" w:cs="宋体"/>
                <w:b w:val="0"/>
              </w:rPr>
              <w:t>潘令梓先生，南开大学保险学学士，香港大学会计学硕士，于2019年11月入职东方阿尔法基金管理有限公司，历任研究部研究员、基金经理助理。现任东方阿尔法基金管理有限公司基金经理。</w:t>
            </w:r>
          </w:p>
        </w:tc>
      </w:tr>
      <w:tr w14:paraId="535CC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7A122575">
            <w:pPr>
              <w:spacing w:line="240" w:lineRule="auto"/>
              <w:jc w:val="left"/>
            </w:pPr>
            <w:r>
              <w:rPr>
                <w:rFonts w:ascii="宋体" w:hAnsi="宋体" w:eastAsia="宋体" w:cs="宋体"/>
                <w:b w:val="0"/>
              </w:rPr>
              <w:t>刘明</w:t>
            </w:r>
          </w:p>
        </w:tc>
        <w:tc>
          <w:tcPr>
            <w:tcW w:w="0" w:type="dxa"/>
            <w:vAlign w:val="center"/>
          </w:tcPr>
          <w:p w14:paraId="052F48B6">
            <w:pPr>
              <w:spacing w:line="240" w:lineRule="auto"/>
              <w:jc w:val="left"/>
            </w:pPr>
            <w:r>
              <w:rPr>
                <w:rFonts w:ascii="宋体" w:hAnsi="宋体" w:eastAsia="宋体" w:cs="宋体"/>
                <w:b w:val="0"/>
              </w:rPr>
              <w:t>公司总经理、投资总监、 基金经理（已离任）</w:t>
            </w:r>
          </w:p>
        </w:tc>
        <w:tc>
          <w:tcPr>
            <w:tcW w:w="0" w:type="dxa"/>
            <w:vAlign w:val="center"/>
          </w:tcPr>
          <w:p w14:paraId="35E08AF0">
            <w:pPr>
              <w:spacing w:line="240" w:lineRule="auto"/>
              <w:jc w:val="center"/>
            </w:pPr>
            <w:r>
              <w:rPr>
                <w:rFonts w:ascii="宋体" w:hAnsi="宋体" w:eastAsia="宋体" w:cs="宋体"/>
                <w:b w:val="0"/>
              </w:rPr>
              <w:t>2021-03-17</w:t>
            </w:r>
          </w:p>
        </w:tc>
        <w:tc>
          <w:tcPr>
            <w:tcW w:w="0" w:type="dxa"/>
            <w:vAlign w:val="center"/>
          </w:tcPr>
          <w:p w14:paraId="5DBD79D0">
            <w:pPr>
              <w:spacing w:line="240" w:lineRule="auto"/>
              <w:jc w:val="center"/>
            </w:pPr>
            <w:r>
              <w:rPr>
                <w:rFonts w:ascii="宋体" w:hAnsi="宋体" w:eastAsia="宋体" w:cs="宋体"/>
                <w:b w:val="0"/>
              </w:rPr>
              <w:t>2025-06-06</w:t>
            </w:r>
          </w:p>
        </w:tc>
        <w:tc>
          <w:tcPr>
            <w:tcW w:w="0" w:type="dxa"/>
            <w:vAlign w:val="center"/>
          </w:tcPr>
          <w:p w14:paraId="08FAB207">
            <w:pPr>
              <w:spacing w:line="240" w:lineRule="auto"/>
              <w:jc w:val="center"/>
            </w:pPr>
            <w:r>
              <w:rPr>
                <w:rFonts w:ascii="宋体" w:hAnsi="宋体" w:eastAsia="宋体" w:cs="宋体"/>
                <w:b w:val="0"/>
              </w:rPr>
              <w:t>25年</w:t>
            </w:r>
          </w:p>
        </w:tc>
        <w:tc>
          <w:tcPr>
            <w:tcW w:w="0" w:type="dxa"/>
            <w:vAlign w:val="center"/>
          </w:tcPr>
          <w:p w14:paraId="5B9EAF5D">
            <w:pPr>
              <w:spacing w:line="240" w:lineRule="auto"/>
              <w:jc w:val="left"/>
            </w:pPr>
            <w:r>
              <w:rPr>
                <w:rFonts w:ascii="宋体" w:hAnsi="宋体" w:eastAsia="宋体" w:cs="宋体"/>
                <w:b w:val="0"/>
              </w:rPr>
              <w:t>刘明先生，毕业于厦门大学统计专业和金融专业，经济学硕士。曾任厦门证券公司鹭江营业部总经理、厦门产权交易中心副总经理、香港时富金融服务集团投资经理、大成基金管理有限公司基金经理、投资部副总监、投资部总监、首席投资官、公司助理总经理、股票投资决策委员会主席、公司副总经理,并兼任社保组合基金经理。2015年5月至2017年6月任东方阿尔法基金管理有限公司筹备组组长。现任东方阿尔法基金管理有限公司总经理、财务负责人、投资总监。</w:t>
            </w:r>
          </w:p>
        </w:tc>
      </w:tr>
    </w:tbl>
    <w:p w14:paraId="4D699EDC">
      <w:r>
        <w:rPr>
          <w:rFonts w:ascii="宋体" w:hAnsi="宋体" w:eastAsia="宋体" w:cs="宋体"/>
          <w:b w:val="0"/>
        </w:rPr>
        <w:t>注：1、对基金的首任基金经理，其"任职日期"为基金合同生效日，"离任日期"为根据公告确定的解聘日期；对此后的非首任基金经理，"任职日期"和"离任日期"分别指公告确定的任职日期和离任日期。</w:t>
      </w:r>
      <w:r>
        <w:rPr>
          <w:rFonts w:ascii="宋体" w:hAnsi="宋体" w:eastAsia="宋体" w:cs="宋体"/>
          <w:b w:val="0"/>
        </w:rPr>
        <w:cr/>
      </w:r>
      <w:r>
        <w:rPr>
          <w:rFonts w:ascii="宋体" w:hAnsi="宋体" w:eastAsia="宋体" w:cs="宋体"/>
          <w:b w:val="0"/>
        </w:rPr>
        <w:t>2、证券从业的含义遵从《证券基金经营机构董事、监事、高级管理人员及从业人员监督管理办法》的相关规定。</w:t>
      </w:r>
    </w:p>
    <w:p w14:paraId="4F7C258D"/>
    <w:p w14:paraId="2F440183">
      <w:pPr>
        <w:pStyle w:val="3"/>
        <w:jc w:val="left"/>
      </w:pPr>
      <w:r>
        <w:rPr>
          <w:rFonts w:ascii="宋体" w:hAnsi="宋体" w:eastAsia="宋体" w:cs="宋体"/>
        </w:rPr>
        <w:t>4.2 管理人对报告期内本基金运作遵规守信情况的说明</w:t>
      </w:r>
    </w:p>
    <w:p w14:paraId="4CBEFD6B">
      <w:r>
        <w:rPr>
          <w:rFonts w:ascii="宋体" w:hAnsi="宋体" w:eastAsia="宋体" w:cs="宋体"/>
          <w:b w:val="0"/>
        </w:rPr>
        <w:t xml:space="preserve">    本报告期内，本基金管理人严格遵守《中华人民共和国证券投资基金法》及其各项实施细则等有关法律法规、本基金《基金合同》和其他有关法律法规的规定，本着诚实信用、勤勉尽责的原则管理和运用基金资产，在严格控制风险的基础上，为基金份额持有人谋求最大利益。本报告期内，基金运作整体合法合规，无损害基金份额持有人利益的行为。</w:t>
      </w:r>
    </w:p>
    <w:p w14:paraId="2F73AEC9"/>
    <w:p w14:paraId="7C80FE1D">
      <w:pPr>
        <w:pStyle w:val="3"/>
        <w:jc w:val="left"/>
      </w:pPr>
      <w:r>
        <w:rPr>
          <w:rFonts w:ascii="宋体" w:hAnsi="宋体" w:eastAsia="宋体" w:cs="宋体"/>
        </w:rPr>
        <w:t>4.3 公平交易专项说明</w:t>
      </w:r>
    </w:p>
    <w:p w14:paraId="7EF56A3F">
      <w:r>
        <w:rPr>
          <w:rFonts w:ascii="宋体" w:hAnsi="宋体" w:eastAsia="宋体" w:cs="宋体"/>
          <w:b/>
        </w:rPr>
        <w:t>4.3.1 公平交易制度的执行情况</w:t>
      </w:r>
    </w:p>
    <w:p w14:paraId="0034BF08">
      <w:pPr>
        <w:ind w:firstLine="420"/>
        <w:rPr>
          <w:rFonts w:ascii="宋体" w:hAnsi="宋体" w:eastAsia="宋体" w:cs="宋体"/>
          <w:b w:val="0"/>
        </w:rPr>
      </w:pPr>
      <w:r>
        <w:rPr>
          <w:rFonts w:ascii="宋体" w:hAnsi="宋体" w:eastAsia="宋体" w:cs="宋体"/>
          <w:b w:val="0"/>
        </w:rPr>
        <w:t xml:space="preserve">本报告期内，本基金管理人严格执行《证券投资基金管理公司公平交易制度指导意见》及《基金经理兼任私募资产管理计划投资经理工作指引（试行）》等相关法律法规，完善相应制度及流程，通过系统和人工等各种方式在各业务环节严格控制交易公平执行，公平对待旗下管理的所有基金和投资组合。     </w:t>
      </w:r>
    </w:p>
    <w:p w14:paraId="202FC0ED">
      <w:pPr>
        <w:ind w:firstLine="420"/>
      </w:pPr>
      <w:r>
        <w:rPr>
          <w:rFonts w:ascii="宋体" w:hAnsi="宋体" w:eastAsia="宋体" w:cs="宋体"/>
          <w:b w:val="0"/>
        </w:rPr>
        <w:t>本报告期内，本基金管理人利用统计分析的方法和工具，按照不同的时间窗（包括当日内、3日内、5日内）对基金管理人管理的不同投资组合反向交易和同向交易的交易价差监控进行分析，未发现违反公平交易制度的异常行为。</w:t>
      </w:r>
    </w:p>
    <w:p w14:paraId="17AED8FA"/>
    <w:p w14:paraId="1785C649">
      <w:r>
        <w:rPr>
          <w:rFonts w:ascii="宋体" w:hAnsi="宋体" w:eastAsia="宋体" w:cs="宋体"/>
          <w:b/>
        </w:rPr>
        <w:t>4.3.2 异常交易行为的专项说明</w:t>
      </w:r>
    </w:p>
    <w:p w14:paraId="0D7C16E0">
      <w:r>
        <w:rPr>
          <w:rFonts w:ascii="宋体" w:hAnsi="宋体" w:eastAsia="宋体" w:cs="宋体"/>
          <w:b w:val="0"/>
        </w:rPr>
        <w:t xml:space="preserve">    报告期内，本基金不存在参与交易所公开竞价同日反向交易成交较少的单边交易量超过该证券当日成交量的5%的情况，且不存在其他可能导致非公平交易和利益输送的异常交易行为。</w:t>
      </w:r>
    </w:p>
    <w:p w14:paraId="0B680117"/>
    <w:p w14:paraId="5A38B526">
      <w:pPr>
        <w:pStyle w:val="3"/>
        <w:jc w:val="left"/>
      </w:pPr>
      <w:r>
        <w:rPr>
          <w:rFonts w:ascii="宋体" w:hAnsi="宋体" w:eastAsia="宋体" w:cs="宋体"/>
        </w:rPr>
        <w:t>4.4 报告期内基金的投资策略和运作分析</w:t>
      </w:r>
    </w:p>
    <w:p w14:paraId="5804952A">
      <w:r>
        <w:rPr>
          <w:rFonts w:ascii="宋体" w:hAnsi="宋体" w:eastAsia="宋体" w:cs="宋体"/>
          <w:b w:val="0"/>
        </w:rPr>
        <w:t xml:space="preserve">    2025年二季度，A股市场呈现先抑后扬的V型走势。4月清明节假期期间，特朗普签署行政令，宣布对全球贸易伙伴征收差异化关税。受特朗普激进关税政策的影响，全球权益市场显著调整。然而，在美国通胀与民生成本压力、民调支持率压力、金融市场动荡、中国反制效力等多重因素的综合作用之下，特朗普关税政策逐渐由前期的极端激进转变为阶段性缓和，中美双方团队在瑞士日内瓦展开经贸会谈并取得一定成果。A股市场在外部环境缓和及内部一系列维稳措施的支持之下，逐渐收复失地。</w:t>
      </w:r>
      <w:r>
        <w:rPr>
          <w:rFonts w:ascii="宋体" w:hAnsi="宋体" w:eastAsia="宋体" w:cs="宋体"/>
          <w:b w:val="0"/>
        </w:rPr>
        <w:cr/>
      </w:r>
      <w:r>
        <w:rPr>
          <w:rFonts w:ascii="宋体" w:hAnsi="宋体" w:eastAsia="宋体" w:cs="宋体"/>
          <w:b w:val="0"/>
        </w:rPr>
        <w:t xml:space="preserve">    2025年是“十四五”规划的收官之年，也是“十五五”的擘画之年，政策工具箱的协同发力有望推动宏观经济实现质的有效提升和量的合理增长，我们对2025年的A股市场仍然持乐观积极的态度。</w:t>
      </w:r>
      <w:r>
        <w:rPr>
          <w:rFonts w:ascii="宋体" w:hAnsi="宋体" w:eastAsia="宋体" w:cs="宋体"/>
          <w:b w:val="0"/>
        </w:rPr>
        <w:cr/>
      </w:r>
      <w:r>
        <w:rPr>
          <w:rFonts w:ascii="宋体" w:hAnsi="宋体" w:eastAsia="宋体" w:cs="宋体"/>
          <w:b w:val="0"/>
        </w:rPr>
        <w:t xml:space="preserve">    我们继续看好国防军工现代化带来的投资机会。当前国际经贸形势的不确定性仍然存在，预计国际地缘关系的紧张也将持续，甚至趋向严重，保障我国战略安全的重要性上升，经济建设需要强大的国防军工硬实力作为后盾。6月国新办新闻发布会宣布今年9月3日将于北京天安门广场举行纪念抗日战争胜利80周年的盛大阅兵式，这是展现国防与军事工业发展水平、彰显国家与军队威严、增强民族向心力与凝聚力的关键契机。2025年是“十四五”规划收官之年，前期装备计划缺口有望得到补齐，扰动因素或将消除，前期因特种行业中期规划调整等因素延后的订单有望进入加速释放期。2027年建军百年奋斗目标不变，国防装备列装正在加速，各领域将面临迫切的需求。军工行业经历了此前景气低迷的调整期后，正迎来困境反转。本基金管理人继续看好以军工为代表的中国高端制造业的崛起，并重仓在此类行业的股票品种上，期望未来基金净值得到修复，为基金持有人带来较好回报。</w:t>
      </w:r>
    </w:p>
    <w:p w14:paraId="1049617F"/>
    <w:p w14:paraId="5B9C863B">
      <w:pPr>
        <w:pStyle w:val="3"/>
        <w:jc w:val="left"/>
      </w:pPr>
      <w:r>
        <w:rPr>
          <w:rFonts w:ascii="宋体" w:hAnsi="宋体" w:eastAsia="宋体" w:cs="宋体"/>
        </w:rPr>
        <w:t>4.5 报告期内基金的业绩表现</w:t>
      </w:r>
    </w:p>
    <w:p w14:paraId="0F32A8B9">
      <w:r>
        <w:rPr>
          <w:rFonts w:ascii="宋体" w:hAnsi="宋体" w:eastAsia="宋体" w:cs="宋体"/>
          <w:b w:val="0"/>
        </w:rPr>
        <w:t xml:space="preserve">    截至报告期末东方阿尔法招阳混合A基金份额净值为0.4975元，本报告期内，该类基金份额净值增长率为7.75%，同期业绩比较基准收益率为1.62%；截至报告期末东方阿尔法招阳混合C基金份额净值为0.4733元，本报告期内，该类基金份额净值增长率为7.54%，同期业绩比较基准收益率为1.62%；截至报告期末东方阿尔法招阳混合E基金份额净值为0.4922元，本报告期内，该类基金份额净值增长率为7.63%，同期业绩比较基准收益率为1.62%。</w:t>
      </w:r>
    </w:p>
    <w:p w14:paraId="15A0AAA2"/>
    <w:p w14:paraId="5380D909">
      <w:pPr>
        <w:pStyle w:val="3"/>
        <w:jc w:val="left"/>
      </w:pPr>
      <w:r>
        <w:rPr>
          <w:rFonts w:ascii="宋体" w:hAnsi="宋体" w:eastAsia="宋体" w:cs="宋体"/>
        </w:rPr>
        <w:t>4.6 报告期内基金持有人数或基金资产净值预警说明</w:t>
      </w:r>
    </w:p>
    <w:p w14:paraId="49CC2061">
      <w:r>
        <w:rPr>
          <w:rFonts w:ascii="宋体" w:hAnsi="宋体" w:eastAsia="宋体" w:cs="宋体"/>
          <w:b w:val="0"/>
        </w:rPr>
        <w:t xml:space="preserve">    本报告期内，本基金未出现连续20个工作日基金份额持有人数量不满200人或者基金资产净值低于5000万的情形。</w:t>
      </w:r>
    </w:p>
    <w:p w14:paraId="449782C1">
      <w:pPr>
        <w:pStyle w:val="2"/>
        <w:jc w:val="center"/>
      </w:pPr>
      <w:r>
        <w:rPr>
          <w:rFonts w:ascii="宋体" w:hAnsi="宋体" w:eastAsia="宋体" w:cs="宋体"/>
        </w:rPr>
        <w:t>§5 投资组合报告</w:t>
      </w:r>
    </w:p>
    <w:p w14:paraId="7CF75F02">
      <w:pPr>
        <w:pStyle w:val="3"/>
        <w:jc w:val="left"/>
      </w:pPr>
      <w:r>
        <w:rPr>
          <w:rFonts w:ascii="宋体" w:hAnsi="宋体" w:eastAsia="宋体" w:cs="宋体"/>
        </w:rPr>
        <w:t>5.1 报告期末基金资产组合情况</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8"/>
        <w:gridCol w:w="2856"/>
        <w:gridCol w:w="2856"/>
        <w:gridCol w:w="2716"/>
      </w:tblGrid>
      <w:tr w14:paraId="2C64D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shd w:val="clear" w:color="auto" w:fill="D9D9D9"/>
            <w:vAlign w:val="center"/>
          </w:tcPr>
          <w:p w14:paraId="4837C50B">
            <w:pPr>
              <w:spacing w:line="240" w:lineRule="auto"/>
              <w:jc w:val="center"/>
            </w:pPr>
            <w:r>
              <w:rPr>
                <w:rFonts w:ascii="宋体" w:hAnsi="宋体" w:eastAsia="宋体" w:cs="宋体"/>
                <w:b w:val="0"/>
              </w:rPr>
              <w:t>序号</w:t>
            </w:r>
          </w:p>
        </w:tc>
        <w:tc>
          <w:tcPr>
            <w:tcW w:w="1538" w:type="pct"/>
            <w:shd w:val="clear" w:color="auto" w:fill="D9D9D9"/>
            <w:vAlign w:val="center"/>
          </w:tcPr>
          <w:p w14:paraId="19CC31E1">
            <w:pPr>
              <w:spacing w:line="240" w:lineRule="auto"/>
              <w:jc w:val="center"/>
            </w:pPr>
            <w:r>
              <w:rPr>
                <w:rFonts w:ascii="宋体" w:hAnsi="宋体" w:eastAsia="宋体" w:cs="宋体"/>
                <w:b w:val="0"/>
              </w:rPr>
              <w:t>项目</w:t>
            </w:r>
          </w:p>
        </w:tc>
        <w:tc>
          <w:tcPr>
            <w:tcW w:w="1538" w:type="pct"/>
            <w:shd w:val="clear" w:color="auto" w:fill="D9D9D9"/>
            <w:vAlign w:val="center"/>
          </w:tcPr>
          <w:p w14:paraId="536C2EF9">
            <w:pPr>
              <w:spacing w:line="240" w:lineRule="auto"/>
              <w:jc w:val="center"/>
            </w:pPr>
            <w:r>
              <w:rPr>
                <w:rFonts w:ascii="宋体" w:hAnsi="宋体" w:eastAsia="宋体" w:cs="宋体"/>
                <w:b w:val="0"/>
              </w:rPr>
              <w:t>金额(元)</w:t>
            </w:r>
          </w:p>
        </w:tc>
        <w:tc>
          <w:tcPr>
            <w:tcW w:w="1538" w:type="pct"/>
            <w:shd w:val="clear" w:color="auto" w:fill="D9D9D9"/>
            <w:vAlign w:val="center"/>
          </w:tcPr>
          <w:p w14:paraId="59F2512B">
            <w:pPr>
              <w:spacing w:line="240" w:lineRule="auto"/>
              <w:jc w:val="center"/>
            </w:pPr>
            <w:r>
              <w:rPr>
                <w:rFonts w:ascii="宋体" w:hAnsi="宋体" w:eastAsia="宋体" w:cs="宋体"/>
                <w:b w:val="0"/>
              </w:rPr>
              <w:t>占基金总资产的比例（%）</w:t>
            </w:r>
          </w:p>
        </w:tc>
      </w:tr>
      <w:tr w14:paraId="43CDB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6C8891BD">
            <w:pPr>
              <w:spacing w:line="240" w:lineRule="auto"/>
              <w:jc w:val="center"/>
            </w:pPr>
            <w:r>
              <w:rPr>
                <w:rFonts w:ascii="宋体" w:hAnsi="宋体" w:eastAsia="宋体" w:cs="宋体"/>
                <w:b w:val="0"/>
              </w:rPr>
              <w:t>1</w:t>
            </w:r>
          </w:p>
        </w:tc>
        <w:tc>
          <w:tcPr>
            <w:tcW w:w="0" w:type="dxa"/>
            <w:vAlign w:val="center"/>
          </w:tcPr>
          <w:p w14:paraId="560690F8">
            <w:pPr>
              <w:spacing w:line="240" w:lineRule="auto"/>
              <w:jc w:val="left"/>
            </w:pPr>
            <w:r>
              <w:rPr>
                <w:rFonts w:ascii="宋体" w:hAnsi="宋体" w:eastAsia="宋体" w:cs="宋体"/>
                <w:b w:val="0"/>
              </w:rPr>
              <w:t>权益投资</w:t>
            </w:r>
          </w:p>
        </w:tc>
        <w:tc>
          <w:tcPr>
            <w:tcW w:w="0" w:type="dxa"/>
            <w:vAlign w:val="center"/>
          </w:tcPr>
          <w:p w14:paraId="1750F328">
            <w:pPr>
              <w:spacing w:line="240" w:lineRule="auto"/>
              <w:jc w:val="right"/>
            </w:pPr>
            <w:r>
              <w:rPr>
                <w:rFonts w:ascii="宋体" w:hAnsi="宋体" w:eastAsia="宋体" w:cs="宋体"/>
                <w:b w:val="0"/>
              </w:rPr>
              <w:t>304,878,331.65</w:t>
            </w:r>
          </w:p>
        </w:tc>
        <w:tc>
          <w:tcPr>
            <w:tcW w:w="0" w:type="dxa"/>
            <w:vAlign w:val="center"/>
          </w:tcPr>
          <w:p w14:paraId="2C3D96D3">
            <w:pPr>
              <w:spacing w:line="240" w:lineRule="auto"/>
              <w:jc w:val="right"/>
            </w:pPr>
            <w:r>
              <w:rPr>
                <w:rFonts w:ascii="宋体" w:hAnsi="宋体" w:eastAsia="宋体" w:cs="宋体"/>
                <w:b w:val="0"/>
              </w:rPr>
              <w:t>94.59</w:t>
            </w:r>
          </w:p>
        </w:tc>
      </w:tr>
      <w:tr w14:paraId="5B790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7E53C0E7">
            <w:pPr>
              <w:spacing w:line="240" w:lineRule="auto"/>
              <w:jc w:val="center"/>
            </w:pPr>
          </w:p>
        </w:tc>
        <w:tc>
          <w:tcPr>
            <w:tcW w:w="0" w:type="dxa"/>
            <w:vAlign w:val="center"/>
          </w:tcPr>
          <w:p w14:paraId="6CE6B2E3">
            <w:pPr>
              <w:spacing w:line="240" w:lineRule="auto"/>
              <w:jc w:val="left"/>
            </w:pPr>
            <w:r>
              <w:rPr>
                <w:rFonts w:ascii="宋体" w:hAnsi="宋体" w:eastAsia="宋体" w:cs="宋体"/>
                <w:b w:val="0"/>
              </w:rPr>
              <w:t>其中：股票</w:t>
            </w:r>
          </w:p>
        </w:tc>
        <w:tc>
          <w:tcPr>
            <w:tcW w:w="0" w:type="dxa"/>
            <w:vAlign w:val="center"/>
          </w:tcPr>
          <w:p w14:paraId="00890D20">
            <w:pPr>
              <w:spacing w:line="240" w:lineRule="auto"/>
              <w:jc w:val="right"/>
            </w:pPr>
            <w:r>
              <w:rPr>
                <w:rFonts w:ascii="宋体" w:hAnsi="宋体" w:eastAsia="宋体" w:cs="宋体"/>
                <w:b w:val="0"/>
              </w:rPr>
              <w:t>304,878,331.65</w:t>
            </w:r>
          </w:p>
        </w:tc>
        <w:tc>
          <w:tcPr>
            <w:tcW w:w="0" w:type="dxa"/>
            <w:vAlign w:val="center"/>
          </w:tcPr>
          <w:p w14:paraId="54582BF4">
            <w:pPr>
              <w:spacing w:line="240" w:lineRule="auto"/>
              <w:jc w:val="right"/>
            </w:pPr>
            <w:r>
              <w:rPr>
                <w:rFonts w:ascii="宋体" w:hAnsi="宋体" w:eastAsia="宋体" w:cs="宋体"/>
                <w:b w:val="0"/>
              </w:rPr>
              <w:t>94.59</w:t>
            </w:r>
          </w:p>
        </w:tc>
      </w:tr>
      <w:tr w14:paraId="750AE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7EE8F4C6">
            <w:pPr>
              <w:spacing w:line="240" w:lineRule="auto"/>
              <w:jc w:val="center"/>
            </w:pPr>
            <w:r>
              <w:rPr>
                <w:rFonts w:ascii="宋体" w:hAnsi="宋体" w:eastAsia="宋体" w:cs="宋体"/>
                <w:b w:val="0"/>
              </w:rPr>
              <w:t>2</w:t>
            </w:r>
          </w:p>
        </w:tc>
        <w:tc>
          <w:tcPr>
            <w:tcW w:w="0" w:type="dxa"/>
            <w:vAlign w:val="center"/>
          </w:tcPr>
          <w:p w14:paraId="7E8B27CA">
            <w:pPr>
              <w:spacing w:line="240" w:lineRule="auto"/>
              <w:jc w:val="left"/>
            </w:pPr>
            <w:r>
              <w:rPr>
                <w:rFonts w:ascii="宋体" w:hAnsi="宋体" w:eastAsia="宋体" w:cs="宋体"/>
                <w:b w:val="0"/>
              </w:rPr>
              <w:t>基金投资</w:t>
            </w:r>
          </w:p>
        </w:tc>
        <w:tc>
          <w:tcPr>
            <w:tcW w:w="0" w:type="dxa"/>
            <w:vAlign w:val="center"/>
          </w:tcPr>
          <w:p w14:paraId="11C83BFF">
            <w:pPr>
              <w:spacing w:line="240" w:lineRule="auto"/>
              <w:jc w:val="right"/>
            </w:pPr>
            <w:r>
              <w:rPr>
                <w:rFonts w:ascii="宋体" w:hAnsi="宋体" w:eastAsia="宋体" w:cs="宋体"/>
                <w:b w:val="0"/>
              </w:rPr>
              <w:t>-</w:t>
            </w:r>
          </w:p>
        </w:tc>
        <w:tc>
          <w:tcPr>
            <w:tcW w:w="0" w:type="dxa"/>
            <w:vAlign w:val="center"/>
          </w:tcPr>
          <w:p w14:paraId="3B308C17">
            <w:pPr>
              <w:spacing w:line="240" w:lineRule="auto"/>
              <w:jc w:val="right"/>
            </w:pPr>
            <w:r>
              <w:rPr>
                <w:rFonts w:ascii="宋体" w:hAnsi="宋体" w:eastAsia="宋体" w:cs="宋体"/>
                <w:b w:val="0"/>
              </w:rPr>
              <w:t>-</w:t>
            </w:r>
          </w:p>
        </w:tc>
      </w:tr>
      <w:tr w14:paraId="121DB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1466EBE8">
            <w:pPr>
              <w:spacing w:line="240" w:lineRule="auto"/>
              <w:jc w:val="center"/>
            </w:pPr>
            <w:r>
              <w:rPr>
                <w:rFonts w:ascii="宋体" w:hAnsi="宋体" w:eastAsia="宋体" w:cs="宋体"/>
                <w:b w:val="0"/>
              </w:rPr>
              <w:t>3</w:t>
            </w:r>
          </w:p>
        </w:tc>
        <w:tc>
          <w:tcPr>
            <w:tcW w:w="0" w:type="dxa"/>
            <w:vAlign w:val="center"/>
          </w:tcPr>
          <w:p w14:paraId="64B4FC3B">
            <w:pPr>
              <w:spacing w:line="240" w:lineRule="auto"/>
              <w:jc w:val="left"/>
            </w:pPr>
            <w:r>
              <w:rPr>
                <w:rFonts w:ascii="宋体" w:hAnsi="宋体" w:eastAsia="宋体" w:cs="宋体"/>
                <w:b w:val="0"/>
              </w:rPr>
              <w:t>固定收益投资</w:t>
            </w:r>
          </w:p>
        </w:tc>
        <w:tc>
          <w:tcPr>
            <w:tcW w:w="0" w:type="dxa"/>
            <w:vAlign w:val="center"/>
          </w:tcPr>
          <w:p w14:paraId="6D5A1F70">
            <w:pPr>
              <w:spacing w:line="240" w:lineRule="auto"/>
              <w:jc w:val="right"/>
            </w:pPr>
            <w:r>
              <w:rPr>
                <w:rFonts w:ascii="宋体" w:hAnsi="宋体" w:eastAsia="宋体" w:cs="宋体"/>
                <w:b w:val="0"/>
              </w:rPr>
              <w:t>16,133,525.75</w:t>
            </w:r>
          </w:p>
        </w:tc>
        <w:tc>
          <w:tcPr>
            <w:tcW w:w="0" w:type="dxa"/>
            <w:vAlign w:val="center"/>
          </w:tcPr>
          <w:p w14:paraId="5958EAB7">
            <w:pPr>
              <w:spacing w:line="240" w:lineRule="auto"/>
              <w:jc w:val="right"/>
            </w:pPr>
            <w:r>
              <w:rPr>
                <w:rFonts w:ascii="宋体" w:hAnsi="宋体" w:eastAsia="宋体" w:cs="宋体"/>
                <w:b w:val="0"/>
              </w:rPr>
              <w:t>5.01</w:t>
            </w:r>
          </w:p>
        </w:tc>
      </w:tr>
      <w:tr w14:paraId="13545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6FA010E5">
            <w:pPr>
              <w:spacing w:line="240" w:lineRule="auto"/>
              <w:jc w:val="center"/>
            </w:pPr>
          </w:p>
        </w:tc>
        <w:tc>
          <w:tcPr>
            <w:tcW w:w="0" w:type="dxa"/>
            <w:vAlign w:val="center"/>
          </w:tcPr>
          <w:p w14:paraId="3C1A27DD">
            <w:pPr>
              <w:spacing w:line="240" w:lineRule="auto"/>
              <w:jc w:val="left"/>
            </w:pPr>
            <w:r>
              <w:rPr>
                <w:rFonts w:ascii="宋体" w:hAnsi="宋体" w:eastAsia="宋体" w:cs="宋体"/>
                <w:b w:val="0"/>
              </w:rPr>
              <w:t>其中：债券</w:t>
            </w:r>
          </w:p>
        </w:tc>
        <w:tc>
          <w:tcPr>
            <w:tcW w:w="0" w:type="dxa"/>
            <w:vAlign w:val="center"/>
          </w:tcPr>
          <w:p w14:paraId="736FDD82">
            <w:pPr>
              <w:spacing w:line="240" w:lineRule="auto"/>
              <w:jc w:val="right"/>
            </w:pPr>
            <w:r>
              <w:rPr>
                <w:rFonts w:ascii="宋体" w:hAnsi="宋体" w:eastAsia="宋体" w:cs="宋体"/>
                <w:b w:val="0"/>
              </w:rPr>
              <w:t>16,133,525.75</w:t>
            </w:r>
          </w:p>
        </w:tc>
        <w:tc>
          <w:tcPr>
            <w:tcW w:w="0" w:type="dxa"/>
            <w:vAlign w:val="center"/>
          </w:tcPr>
          <w:p w14:paraId="501FC5C6">
            <w:pPr>
              <w:spacing w:line="240" w:lineRule="auto"/>
              <w:jc w:val="right"/>
            </w:pPr>
            <w:r>
              <w:rPr>
                <w:rFonts w:ascii="宋体" w:hAnsi="宋体" w:eastAsia="宋体" w:cs="宋体"/>
                <w:b w:val="0"/>
              </w:rPr>
              <w:t>5.01</w:t>
            </w:r>
          </w:p>
        </w:tc>
      </w:tr>
      <w:tr w14:paraId="050C8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689CEA65">
            <w:pPr>
              <w:spacing w:line="240" w:lineRule="auto"/>
              <w:jc w:val="center"/>
            </w:pPr>
          </w:p>
        </w:tc>
        <w:tc>
          <w:tcPr>
            <w:tcW w:w="0" w:type="dxa"/>
            <w:vAlign w:val="center"/>
          </w:tcPr>
          <w:p w14:paraId="6D8B3C60">
            <w:pPr>
              <w:spacing w:line="240" w:lineRule="auto"/>
              <w:jc w:val="left"/>
            </w:pPr>
            <w:r>
              <w:rPr>
                <w:rFonts w:ascii="宋体" w:hAnsi="宋体" w:eastAsia="宋体" w:cs="宋体"/>
                <w:b w:val="0"/>
              </w:rPr>
              <w:t xml:space="preserve">      资产支持证券</w:t>
            </w:r>
          </w:p>
        </w:tc>
        <w:tc>
          <w:tcPr>
            <w:tcW w:w="0" w:type="dxa"/>
            <w:vAlign w:val="center"/>
          </w:tcPr>
          <w:p w14:paraId="3FB25C73">
            <w:pPr>
              <w:spacing w:line="240" w:lineRule="auto"/>
              <w:jc w:val="right"/>
            </w:pPr>
            <w:r>
              <w:rPr>
                <w:rFonts w:ascii="宋体" w:hAnsi="宋体" w:eastAsia="宋体" w:cs="宋体"/>
                <w:b w:val="0"/>
              </w:rPr>
              <w:t>-</w:t>
            </w:r>
          </w:p>
        </w:tc>
        <w:tc>
          <w:tcPr>
            <w:tcW w:w="0" w:type="dxa"/>
            <w:vAlign w:val="center"/>
          </w:tcPr>
          <w:p w14:paraId="650F7D1A">
            <w:pPr>
              <w:spacing w:line="240" w:lineRule="auto"/>
              <w:jc w:val="right"/>
            </w:pPr>
            <w:r>
              <w:rPr>
                <w:rFonts w:ascii="宋体" w:hAnsi="宋体" w:eastAsia="宋体" w:cs="宋体"/>
                <w:b w:val="0"/>
              </w:rPr>
              <w:t>-</w:t>
            </w:r>
          </w:p>
        </w:tc>
      </w:tr>
      <w:tr w14:paraId="57554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43BC0D45">
            <w:pPr>
              <w:spacing w:line="240" w:lineRule="auto"/>
              <w:jc w:val="center"/>
            </w:pPr>
            <w:r>
              <w:rPr>
                <w:rFonts w:ascii="宋体" w:hAnsi="宋体" w:eastAsia="宋体" w:cs="宋体"/>
                <w:b w:val="0"/>
              </w:rPr>
              <w:t>4</w:t>
            </w:r>
          </w:p>
        </w:tc>
        <w:tc>
          <w:tcPr>
            <w:tcW w:w="0" w:type="dxa"/>
            <w:vAlign w:val="center"/>
          </w:tcPr>
          <w:p w14:paraId="78F9BCE6">
            <w:pPr>
              <w:spacing w:line="240" w:lineRule="auto"/>
            </w:pPr>
            <w:r>
              <w:rPr>
                <w:rFonts w:ascii="宋体" w:hAnsi="宋体" w:eastAsia="宋体" w:cs="宋体"/>
                <w:b w:val="0"/>
              </w:rPr>
              <w:t>贵金属投资</w:t>
            </w:r>
          </w:p>
        </w:tc>
        <w:tc>
          <w:tcPr>
            <w:tcW w:w="0" w:type="dxa"/>
            <w:vAlign w:val="center"/>
          </w:tcPr>
          <w:p w14:paraId="67D72E30">
            <w:pPr>
              <w:spacing w:line="240" w:lineRule="auto"/>
              <w:jc w:val="right"/>
            </w:pPr>
            <w:r>
              <w:rPr>
                <w:rFonts w:ascii="宋体" w:hAnsi="宋体" w:eastAsia="宋体" w:cs="宋体"/>
                <w:b w:val="0"/>
              </w:rPr>
              <w:t>-</w:t>
            </w:r>
          </w:p>
        </w:tc>
        <w:tc>
          <w:tcPr>
            <w:tcW w:w="0" w:type="dxa"/>
            <w:vAlign w:val="center"/>
          </w:tcPr>
          <w:p w14:paraId="0848BFFC">
            <w:pPr>
              <w:spacing w:line="240" w:lineRule="auto"/>
              <w:jc w:val="right"/>
            </w:pPr>
            <w:r>
              <w:rPr>
                <w:rFonts w:ascii="宋体" w:hAnsi="宋体" w:eastAsia="宋体" w:cs="宋体"/>
                <w:b w:val="0"/>
              </w:rPr>
              <w:t>-</w:t>
            </w:r>
          </w:p>
        </w:tc>
      </w:tr>
      <w:tr w14:paraId="2983A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215E2C3F">
            <w:pPr>
              <w:spacing w:line="240" w:lineRule="auto"/>
              <w:jc w:val="center"/>
            </w:pPr>
            <w:r>
              <w:rPr>
                <w:rFonts w:ascii="宋体" w:hAnsi="宋体" w:eastAsia="宋体" w:cs="宋体"/>
                <w:b w:val="0"/>
              </w:rPr>
              <w:t>5</w:t>
            </w:r>
          </w:p>
        </w:tc>
        <w:tc>
          <w:tcPr>
            <w:tcW w:w="0" w:type="dxa"/>
            <w:vAlign w:val="center"/>
          </w:tcPr>
          <w:p w14:paraId="392806E9">
            <w:pPr>
              <w:spacing w:line="240" w:lineRule="auto"/>
              <w:jc w:val="left"/>
            </w:pPr>
            <w:r>
              <w:rPr>
                <w:rFonts w:ascii="宋体" w:hAnsi="宋体" w:eastAsia="宋体" w:cs="宋体"/>
                <w:b w:val="0"/>
              </w:rPr>
              <w:t>金融衍生品投资</w:t>
            </w:r>
          </w:p>
        </w:tc>
        <w:tc>
          <w:tcPr>
            <w:tcW w:w="0" w:type="dxa"/>
            <w:vAlign w:val="center"/>
          </w:tcPr>
          <w:p w14:paraId="002DE349">
            <w:pPr>
              <w:spacing w:line="240" w:lineRule="auto"/>
              <w:jc w:val="right"/>
            </w:pPr>
            <w:r>
              <w:rPr>
                <w:rFonts w:ascii="宋体" w:hAnsi="宋体" w:eastAsia="宋体" w:cs="宋体"/>
                <w:b w:val="0"/>
              </w:rPr>
              <w:t>-</w:t>
            </w:r>
          </w:p>
        </w:tc>
        <w:tc>
          <w:tcPr>
            <w:tcW w:w="0" w:type="dxa"/>
            <w:vAlign w:val="center"/>
          </w:tcPr>
          <w:p w14:paraId="4350590A">
            <w:pPr>
              <w:spacing w:line="240" w:lineRule="auto"/>
              <w:jc w:val="right"/>
            </w:pPr>
            <w:r>
              <w:rPr>
                <w:rFonts w:ascii="宋体" w:hAnsi="宋体" w:eastAsia="宋体" w:cs="宋体"/>
                <w:b w:val="0"/>
              </w:rPr>
              <w:t>-</w:t>
            </w:r>
          </w:p>
        </w:tc>
      </w:tr>
      <w:tr w14:paraId="6F400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2AF6DAC5">
            <w:pPr>
              <w:spacing w:line="240" w:lineRule="auto"/>
              <w:jc w:val="center"/>
            </w:pPr>
            <w:r>
              <w:rPr>
                <w:rFonts w:ascii="宋体" w:hAnsi="宋体" w:eastAsia="宋体" w:cs="宋体"/>
                <w:b w:val="0"/>
              </w:rPr>
              <w:t>6</w:t>
            </w:r>
          </w:p>
        </w:tc>
        <w:tc>
          <w:tcPr>
            <w:tcW w:w="0" w:type="dxa"/>
            <w:vAlign w:val="center"/>
          </w:tcPr>
          <w:p w14:paraId="2777CCB5">
            <w:pPr>
              <w:spacing w:line="240" w:lineRule="auto"/>
              <w:jc w:val="left"/>
            </w:pPr>
            <w:r>
              <w:rPr>
                <w:rFonts w:ascii="宋体" w:hAnsi="宋体" w:eastAsia="宋体" w:cs="宋体"/>
                <w:b w:val="0"/>
              </w:rPr>
              <w:t>买入返售金融资产</w:t>
            </w:r>
          </w:p>
        </w:tc>
        <w:tc>
          <w:tcPr>
            <w:tcW w:w="0" w:type="dxa"/>
            <w:vAlign w:val="center"/>
          </w:tcPr>
          <w:p w14:paraId="6E687DAE">
            <w:pPr>
              <w:spacing w:line="240" w:lineRule="auto"/>
              <w:jc w:val="right"/>
            </w:pPr>
            <w:r>
              <w:rPr>
                <w:rFonts w:ascii="宋体" w:hAnsi="宋体" w:eastAsia="宋体" w:cs="宋体"/>
                <w:b w:val="0"/>
              </w:rPr>
              <w:t>-</w:t>
            </w:r>
          </w:p>
        </w:tc>
        <w:tc>
          <w:tcPr>
            <w:tcW w:w="0" w:type="dxa"/>
            <w:vAlign w:val="center"/>
          </w:tcPr>
          <w:p w14:paraId="5DB0AAC7">
            <w:pPr>
              <w:spacing w:line="240" w:lineRule="auto"/>
              <w:jc w:val="right"/>
            </w:pPr>
            <w:r>
              <w:rPr>
                <w:rFonts w:ascii="宋体" w:hAnsi="宋体" w:eastAsia="宋体" w:cs="宋体"/>
                <w:b w:val="0"/>
              </w:rPr>
              <w:t>-</w:t>
            </w:r>
          </w:p>
        </w:tc>
      </w:tr>
      <w:tr w14:paraId="40A95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473EA2B0">
            <w:pPr>
              <w:spacing w:line="240" w:lineRule="auto"/>
              <w:jc w:val="center"/>
            </w:pPr>
          </w:p>
        </w:tc>
        <w:tc>
          <w:tcPr>
            <w:tcW w:w="0" w:type="dxa"/>
            <w:vAlign w:val="center"/>
          </w:tcPr>
          <w:p w14:paraId="5784BD1A">
            <w:pPr>
              <w:spacing w:line="240" w:lineRule="auto"/>
              <w:jc w:val="left"/>
            </w:pPr>
            <w:r>
              <w:rPr>
                <w:rFonts w:ascii="宋体" w:hAnsi="宋体" w:eastAsia="宋体" w:cs="宋体"/>
                <w:b w:val="0"/>
              </w:rPr>
              <w:t>其中：买断式回购的买入返售金融资产</w:t>
            </w:r>
          </w:p>
        </w:tc>
        <w:tc>
          <w:tcPr>
            <w:tcW w:w="0" w:type="dxa"/>
            <w:vAlign w:val="center"/>
          </w:tcPr>
          <w:p w14:paraId="74867E79">
            <w:pPr>
              <w:spacing w:line="240" w:lineRule="auto"/>
              <w:jc w:val="right"/>
            </w:pPr>
            <w:r>
              <w:rPr>
                <w:rFonts w:ascii="宋体" w:hAnsi="宋体" w:eastAsia="宋体" w:cs="宋体"/>
                <w:b w:val="0"/>
              </w:rPr>
              <w:t>-</w:t>
            </w:r>
          </w:p>
        </w:tc>
        <w:tc>
          <w:tcPr>
            <w:tcW w:w="0" w:type="dxa"/>
            <w:vAlign w:val="center"/>
          </w:tcPr>
          <w:p w14:paraId="032DD285">
            <w:pPr>
              <w:spacing w:line="240" w:lineRule="auto"/>
              <w:jc w:val="right"/>
            </w:pPr>
            <w:r>
              <w:rPr>
                <w:rFonts w:ascii="宋体" w:hAnsi="宋体" w:eastAsia="宋体" w:cs="宋体"/>
                <w:b w:val="0"/>
              </w:rPr>
              <w:t>-</w:t>
            </w:r>
          </w:p>
        </w:tc>
      </w:tr>
      <w:tr w14:paraId="33E47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40FD0EEC">
            <w:pPr>
              <w:spacing w:line="240" w:lineRule="auto"/>
              <w:jc w:val="center"/>
            </w:pPr>
            <w:r>
              <w:rPr>
                <w:rFonts w:ascii="宋体" w:hAnsi="宋体" w:eastAsia="宋体" w:cs="宋体"/>
                <w:b w:val="0"/>
              </w:rPr>
              <w:t>7</w:t>
            </w:r>
          </w:p>
        </w:tc>
        <w:tc>
          <w:tcPr>
            <w:tcW w:w="0" w:type="dxa"/>
            <w:vAlign w:val="center"/>
          </w:tcPr>
          <w:p w14:paraId="3A882832">
            <w:pPr>
              <w:spacing w:line="240" w:lineRule="auto"/>
              <w:jc w:val="left"/>
            </w:pPr>
            <w:r>
              <w:rPr>
                <w:rFonts w:ascii="宋体" w:hAnsi="宋体" w:eastAsia="宋体" w:cs="宋体"/>
                <w:b w:val="0"/>
              </w:rPr>
              <w:t>银行存款和结算备付金合计</w:t>
            </w:r>
          </w:p>
        </w:tc>
        <w:tc>
          <w:tcPr>
            <w:tcW w:w="0" w:type="dxa"/>
            <w:vAlign w:val="center"/>
          </w:tcPr>
          <w:p w14:paraId="7E36CC06">
            <w:pPr>
              <w:spacing w:line="240" w:lineRule="auto"/>
              <w:jc w:val="right"/>
            </w:pPr>
            <w:r>
              <w:rPr>
                <w:rFonts w:ascii="宋体" w:hAnsi="宋体" w:eastAsia="宋体" w:cs="宋体"/>
                <w:b w:val="0"/>
              </w:rPr>
              <w:t>1,240,685.49</w:t>
            </w:r>
          </w:p>
        </w:tc>
        <w:tc>
          <w:tcPr>
            <w:tcW w:w="0" w:type="dxa"/>
            <w:vAlign w:val="center"/>
          </w:tcPr>
          <w:p w14:paraId="6318D43E">
            <w:pPr>
              <w:spacing w:line="240" w:lineRule="auto"/>
              <w:jc w:val="right"/>
            </w:pPr>
            <w:r>
              <w:rPr>
                <w:rFonts w:ascii="宋体" w:hAnsi="宋体" w:eastAsia="宋体" w:cs="宋体"/>
                <w:b w:val="0"/>
              </w:rPr>
              <w:t>0.38</w:t>
            </w:r>
          </w:p>
        </w:tc>
      </w:tr>
      <w:tr w14:paraId="24B395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6A1180B9">
            <w:pPr>
              <w:spacing w:line="240" w:lineRule="auto"/>
              <w:jc w:val="center"/>
            </w:pPr>
            <w:r>
              <w:rPr>
                <w:rFonts w:ascii="宋体" w:hAnsi="宋体" w:eastAsia="宋体" w:cs="宋体"/>
                <w:b w:val="0"/>
              </w:rPr>
              <w:t>8</w:t>
            </w:r>
          </w:p>
        </w:tc>
        <w:tc>
          <w:tcPr>
            <w:tcW w:w="0" w:type="dxa"/>
            <w:vAlign w:val="center"/>
          </w:tcPr>
          <w:p w14:paraId="642A4DB2">
            <w:pPr>
              <w:spacing w:line="240" w:lineRule="auto"/>
              <w:jc w:val="left"/>
            </w:pPr>
            <w:r>
              <w:rPr>
                <w:rFonts w:ascii="宋体" w:hAnsi="宋体" w:eastAsia="宋体" w:cs="宋体"/>
                <w:b w:val="0"/>
              </w:rPr>
              <w:t>其他资产</w:t>
            </w:r>
          </w:p>
        </w:tc>
        <w:tc>
          <w:tcPr>
            <w:tcW w:w="0" w:type="dxa"/>
            <w:vAlign w:val="center"/>
          </w:tcPr>
          <w:p w14:paraId="599605F1">
            <w:pPr>
              <w:spacing w:line="240" w:lineRule="auto"/>
              <w:jc w:val="right"/>
            </w:pPr>
            <w:r>
              <w:rPr>
                <w:rFonts w:ascii="宋体" w:hAnsi="宋体" w:eastAsia="宋体" w:cs="宋体"/>
                <w:b w:val="0"/>
              </w:rPr>
              <w:t>69,339.07</w:t>
            </w:r>
          </w:p>
        </w:tc>
        <w:tc>
          <w:tcPr>
            <w:tcW w:w="0" w:type="dxa"/>
            <w:vAlign w:val="center"/>
          </w:tcPr>
          <w:p w14:paraId="247038CE">
            <w:pPr>
              <w:spacing w:line="240" w:lineRule="auto"/>
              <w:jc w:val="right"/>
            </w:pPr>
            <w:r>
              <w:rPr>
                <w:rFonts w:ascii="宋体" w:hAnsi="宋体" w:eastAsia="宋体" w:cs="宋体"/>
                <w:b w:val="0"/>
              </w:rPr>
              <w:t>0.02</w:t>
            </w:r>
          </w:p>
        </w:tc>
      </w:tr>
      <w:tr w14:paraId="77A50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2E1DCCB4">
            <w:pPr>
              <w:spacing w:line="240" w:lineRule="auto"/>
              <w:jc w:val="center"/>
            </w:pPr>
            <w:r>
              <w:rPr>
                <w:rFonts w:ascii="宋体" w:hAnsi="宋体" w:eastAsia="宋体" w:cs="宋体"/>
                <w:b w:val="0"/>
              </w:rPr>
              <w:t>9</w:t>
            </w:r>
          </w:p>
        </w:tc>
        <w:tc>
          <w:tcPr>
            <w:tcW w:w="0" w:type="dxa"/>
            <w:vAlign w:val="center"/>
          </w:tcPr>
          <w:p w14:paraId="66704082">
            <w:pPr>
              <w:spacing w:line="240" w:lineRule="auto"/>
              <w:jc w:val="left"/>
            </w:pPr>
            <w:r>
              <w:rPr>
                <w:rFonts w:ascii="宋体" w:hAnsi="宋体" w:eastAsia="宋体" w:cs="宋体"/>
                <w:b w:val="0"/>
              </w:rPr>
              <w:t>合计</w:t>
            </w:r>
          </w:p>
        </w:tc>
        <w:tc>
          <w:tcPr>
            <w:tcW w:w="0" w:type="dxa"/>
            <w:vAlign w:val="center"/>
          </w:tcPr>
          <w:p w14:paraId="625E0322">
            <w:pPr>
              <w:spacing w:line="240" w:lineRule="auto"/>
              <w:jc w:val="right"/>
            </w:pPr>
            <w:r>
              <w:rPr>
                <w:rFonts w:ascii="宋体" w:hAnsi="宋体" w:eastAsia="宋体" w:cs="宋体"/>
                <w:b w:val="0"/>
              </w:rPr>
              <w:t>322,321,881.96</w:t>
            </w:r>
          </w:p>
        </w:tc>
        <w:tc>
          <w:tcPr>
            <w:tcW w:w="0" w:type="dxa"/>
            <w:vAlign w:val="center"/>
          </w:tcPr>
          <w:p w14:paraId="7652001C">
            <w:pPr>
              <w:spacing w:line="240" w:lineRule="auto"/>
              <w:jc w:val="right"/>
            </w:pPr>
            <w:r>
              <w:rPr>
                <w:rFonts w:ascii="宋体" w:hAnsi="宋体" w:eastAsia="宋体" w:cs="宋体"/>
                <w:b w:val="0"/>
              </w:rPr>
              <w:t>100.00</w:t>
            </w:r>
          </w:p>
        </w:tc>
      </w:tr>
    </w:tbl>
    <w:p w14:paraId="66A52AF5"/>
    <w:p w14:paraId="06669D38">
      <w:pPr>
        <w:pStyle w:val="3"/>
        <w:jc w:val="left"/>
      </w:pPr>
      <w:r>
        <w:rPr>
          <w:rFonts w:ascii="宋体" w:hAnsi="宋体" w:eastAsia="宋体" w:cs="宋体"/>
        </w:rPr>
        <w:t>5.2 报告期末按行业分类的股票投资组合</w:t>
      </w:r>
    </w:p>
    <w:p w14:paraId="000018C4">
      <w:r>
        <w:rPr>
          <w:rFonts w:ascii="宋体" w:hAnsi="宋体" w:eastAsia="宋体" w:cs="宋体"/>
          <w:b/>
        </w:rPr>
        <w:t>5.2.1 报告期末按行业分类的境内股票投资组合</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8"/>
        <w:gridCol w:w="3095"/>
        <w:gridCol w:w="1858"/>
        <w:gridCol w:w="3095"/>
      </w:tblGrid>
      <w:tr w14:paraId="2B11E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pct"/>
            <w:shd w:val="clear" w:color="auto" w:fill="D9D9D9"/>
          </w:tcPr>
          <w:p w14:paraId="2B0A9958">
            <w:pPr>
              <w:spacing w:line="240" w:lineRule="auto"/>
              <w:jc w:val="center"/>
            </w:pPr>
            <w:r>
              <w:rPr>
                <w:rFonts w:ascii="宋体" w:hAnsi="宋体" w:eastAsia="宋体" w:cs="宋体"/>
                <w:b w:val="0"/>
              </w:rPr>
              <w:t>代码</w:t>
            </w:r>
          </w:p>
        </w:tc>
        <w:tc>
          <w:tcPr>
            <w:tcW w:w="1538" w:type="pct"/>
            <w:shd w:val="clear" w:color="auto" w:fill="D9D9D9"/>
          </w:tcPr>
          <w:p w14:paraId="54C480D2">
            <w:pPr>
              <w:spacing w:line="240" w:lineRule="auto"/>
              <w:jc w:val="center"/>
            </w:pPr>
            <w:r>
              <w:rPr>
                <w:rFonts w:ascii="宋体" w:hAnsi="宋体" w:eastAsia="宋体" w:cs="宋体"/>
                <w:b w:val="0"/>
              </w:rPr>
              <w:t>行业类别</w:t>
            </w:r>
          </w:p>
        </w:tc>
        <w:tc>
          <w:tcPr>
            <w:tcW w:w="923" w:type="pct"/>
            <w:shd w:val="clear" w:color="auto" w:fill="D9D9D9"/>
          </w:tcPr>
          <w:p w14:paraId="72807B02">
            <w:pPr>
              <w:spacing w:line="240" w:lineRule="auto"/>
              <w:jc w:val="center"/>
            </w:pPr>
            <w:r>
              <w:rPr>
                <w:rFonts w:ascii="宋体" w:hAnsi="宋体" w:eastAsia="宋体" w:cs="宋体"/>
                <w:b w:val="0"/>
              </w:rPr>
              <w:t>公允价值(元)</w:t>
            </w:r>
          </w:p>
        </w:tc>
        <w:tc>
          <w:tcPr>
            <w:tcW w:w="1538" w:type="pct"/>
            <w:shd w:val="clear" w:color="auto" w:fill="D9D9D9"/>
          </w:tcPr>
          <w:p w14:paraId="1DF1802C">
            <w:pPr>
              <w:spacing w:line="240" w:lineRule="auto"/>
              <w:jc w:val="center"/>
            </w:pPr>
            <w:r>
              <w:rPr>
                <w:rFonts w:ascii="宋体" w:hAnsi="宋体" w:eastAsia="宋体" w:cs="宋体"/>
                <w:b w:val="0"/>
              </w:rPr>
              <w:t>占基金资产净值比例（%）</w:t>
            </w:r>
          </w:p>
        </w:tc>
      </w:tr>
      <w:tr w14:paraId="0714F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23BBC6F">
            <w:pPr>
              <w:spacing w:line="240" w:lineRule="auto"/>
              <w:jc w:val="center"/>
            </w:pPr>
            <w:r>
              <w:rPr>
                <w:rFonts w:ascii="宋体" w:hAnsi="宋体" w:eastAsia="宋体" w:cs="宋体"/>
                <w:b w:val="0"/>
              </w:rPr>
              <w:t>A</w:t>
            </w:r>
          </w:p>
        </w:tc>
        <w:tc>
          <w:tcPr>
            <w:tcW w:w="0" w:type="dxa"/>
          </w:tcPr>
          <w:p w14:paraId="1C984218">
            <w:pPr>
              <w:spacing w:line="240" w:lineRule="auto"/>
              <w:jc w:val="left"/>
            </w:pPr>
            <w:r>
              <w:rPr>
                <w:rFonts w:ascii="宋体" w:hAnsi="宋体" w:eastAsia="宋体" w:cs="宋体"/>
                <w:b w:val="0"/>
              </w:rPr>
              <w:t>农、林、牧、渔业</w:t>
            </w:r>
          </w:p>
        </w:tc>
        <w:tc>
          <w:tcPr>
            <w:tcW w:w="0" w:type="dxa"/>
          </w:tcPr>
          <w:p w14:paraId="7471F424">
            <w:pPr>
              <w:spacing w:line="240" w:lineRule="auto"/>
              <w:jc w:val="right"/>
            </w:pPr>
            <w:r>
              <w:rPr>
                <w:rFonts w:ascii="宋体" w:hAnsi="宋体" w:eastAsia="宋体" w:cs="宋体"/>
                <w:b w:val="0"/>
              </w:rPr>
              <w:t>-</w:t>
            </w:r>
          </w:p>
        </w:tc>
        <w:tc>
          <w:tcPr>
            <w:tcW w:w="0" w:type="dxa"/>
          </w:tcPr>
          <w:p w14:paraId="096FB7B7">
            <w:pPr>
              <w:spacing w:line="240" w:lineRule="auto"/>
              <w:jc w:val="right"/>
            </w:pPr>
            <w:r>
              <w:rPr>
                <w:rFonts w:ascii="宋体" w:hAnsi="宋体" w:eastAsia="宋体" w:cs="宋体"/>
                <w:b w:val="0"/>
              </w:rPr>
              <w:t>-</w:t>
            </w:r>
          </w:p>
        </w:tc>
      </w:tr>
      <w:tr w14:paraId="3CDB4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4166137">
            <w:pPr>
              <w:spacing w:line="240" w:lineRule="auto"/>
              <w:jc w:val="center"/>
            </w:pPr>
            <w:r>
              <w:rPr>
                <w:rFonts w:ascii="宋体" w:hAnsi="宋体" w:eastAsia="宋体" w:cs="宋体"/>
                <w:b w:val="0"/>
              </w:rPr>
              <w:t>B</w:t>
            </w:r>
          </w:p>
        </w:tc>
        <w:tc>
          <w:tcPr>
            <w:tcW w:w="0" w:type="dxa"/>
          </w:tcPr>
          <w:p w14:paraId="0E34659F">
            <w:pPr>
              <w:spacing w:line="240" w:lineRule="auto"/>
              <w:jc w:val="left"/>
            </w:pPr>
            <w:r>
              <w:rPr>
                <w:rFonts w:ascii="宋体" w:hAnsi="宋体" w:eastAsia="宋体" w:cs="宋体"/>
                <w:b w:val="0"/>
              </w:rPr>
              <w:t>采矿业</w:t>
            </w:r>
          </w:p>
        </w:tc>
        <w:tc>
          <w:tcPr>
            <w:tcW w:w="0" w:type="dxa"/>
          </w:tcPr>
          <w:p w14:paraId="18259B10">
            <w:pPr>
              <w:spacing w:line="240" w:lineRule="auto"/>
              <w:jc w:val="right"/>
            </w:pPr>
            <w:r>
              <w:rPr>
                <w:rFonts w:ascii="宋体" w:hAnsi="宋体" w:eastAsia="宋体" w:cs="宋体"/>
                <w:b w:val="0"/>
              </w:rPr>
              <w:t>-</w:t>
            </w:r>
          </w:p>
        </w:tc>
        <w:tc>
          <w:tcPr>
            <w:tcW w:w="0" w:type="dxa"/>
          </w:tcPr>
          <w:p w14:paraId="14C8186B">
            <w:pPr>
              <w:spacing w:line="240" w:lineRule="auto"/>
              <w:jc w:val="right"/>
            </w:pPr>
            <w:r>
              <w:rPr>
                <w:rFonts w:ascii="宋体" w:hAnsi="宋体" w:eastAsia="宋体" w:cs="宋体"/>
                <w:b w:val="0"/>
              </w:rPr>
              <w:t>-</w:t>
            </w:r>
          </w:p>
        </w:tc>
      </w:tr>
      <w:tr w14:paraId="6CF0F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6097355">
            <w:pPr>
              <w:spacing w:line="240" w:lineRule="auto"/>
              <w:jc w:val="center"/>
            </w:pPr>
            <w:r>
              <w:rPr>
                <w:rFonts w:ascii="宋体" w:hAnsi="宋体" w:eastAsia="宋体" w:cs="宋体"/>
                <w:b w:val="0"/>
              </w:rPr>
              <w:t>C</w:t>
            </w:r>
          </w:p>
        </w:tc>
        <w:tc>
          <w:tcPr>
            <w:tcW w:w="0" w:type="dxa"/>
          </w:tcPr>
          <w:p w14:paraId="21945DCA">
            <w:pPr>
              <w:spacing w:line="240" w:lineRule="auto"/>
              <w:jc w:val="left"/>
            </w:pPr>
            <w:r>
              <w:rPr>
                <w:rFonts w:ascii="宋体" w:hAnsi="宋体" w:eastAsia="宋体" w:cs="宋体"/>
                <w:b w:val="0"/>
              </w:rPr>
              <w:t>制造业</w:t>
            </w:r>
          </w:p>
        </w:tc>
        <w:tc>
          <w:tcPr>
            <w:tcW w:w="0" w:type="dxa"/>
          </w:tcPr>
          <w:p w14:paraId="702F0225">
            <w:pPr>
              <w:spacing w:line="240" w:lineRule="auto"/>
              <w:jc w:val="right"/>
            </w:pPr>
            <w:r>
              <w:rPr>
                <w:rFonts w:ascii="宋体" w:hAnsi="宋体" w:eastAsia="宋体" w:cs="宋体"/>
                <w:b w:val="0"/>
              </w:rPr>
              <w:t>278,798,497.29</w:t>
            </w:r>
          </w:p>
        </w:tc>
        <w:tc>
          <w:tcPr>
            <w:tcW w:w="0" w:type="dxa"/>
          </w:tcPr>
          <w:p w14:paraId="7D197480">
            <w:pPr>
              <w:spacing w:line="240" w:lineRule="auto"/>
              <w:jc w:val="right"/>
            </w:pPr>
            <w:r>
              <w:rPr>
                <w:rFonts w:ascii="宋体" w:hAnsi="宋体" w:eastAsia="宋体" w:cs="宋体"/>
                <w:b w:val="0"/>
              </w:rPr>
              <w:t>86.64</w:t>
            </w:r>
          </w:p>
        </w:tc>
      </w:tr>
      <w:tr w14:paraId="6EBF0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D4B6270">
            <w:pPr>
              <w:spacing w:line="240" w:lineRule="auto"/>
              <w:jc w:val="center"/>
            </w:pPr>
            <w:r>
              <w:rPr>
                <w:rFonts w:ascii="宋体" w:hAnsi="宋体" w:eastAsia="宋体" w:cs="宋体"/>
                <w:b w:val="0"/>
              </w:rPr>
              <w:t>D</w:t>
            </w:r>
          </w:p>
        </w:tc>
        <w:tc>
          <w:tcPr>
            <w:tcW w:w="0" w:type="dxa"/>
          </w:tcPr>
          <w:p w14:paraId="1C12DD2B">
            <w:pPr>
              <w:spacing w:line="240" w:lineRule="auto"/>
              <w:jc w:val="left"/>
            </w:pPr>
            <w:r>
              <w:rPr>
                <w:rFonts w:ascii="宋体" w:hAnsi="宋体" w:eastAsia="宋体" w:cs="宋体"/>
                <w:b w:val="0"/>
              </w:rPr>
              <w:t>电力、热力、燃气及水生产和供应业</w:t>
            </w:r>
          </w:p>
        </w:tc>
        <w:tc>
          <w:tcPr>
            <w:tcW w:w="0" w:type="dxa"/>
          </w:tcPr>
          <w:p w14:paraId="796C4845">
            <w:pPr>
              <w:spacing w:line="240" w:lineRule="auto"/>
              <w:jc w:val="right"/>
            </w:pPr>
            <w:r>
              <w:rPr>
                <w:rFonts w:ascii="宋体" w:hAnsi="宋体" w:eastAsia="宋体" w:cs="宋体"/>
                <w:b w:val="0"/>
              </w:rPr>
              <w:t>-</w:t>
            </w:r>
          </w:p>
        </w:tc>
        <w:tc>
          <w:tcPr>
            <w:tcW w:w="0" w:type="dxa"/>
          </w:tcPr>
          <w:p w14:paraId="055B655D">
            <w:pPr>
              <w:spacing w:line="240" w:lineRule="auto"/>
              <w:jc w:val="right"/>
            </w:pPr>
            <w:r>
              <w:rPr>
                <w:rFonts w:ascii="宋体" w:hAnsi="宋体" w:eastAsia="宋体" w:cs="宋体"/>
                <w:b w:val="0"/>
              </w:rPr>
              <w:t>-</w:t>
            </w:r>
          </w:p>
        </w:tc>
      </w:tr>
      <w:tr w14:paraId="4861D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39C04C2">
            <w:pPr>
              <w:spacing w:line="240" w:lineRule="auto"/>
              <w:jc w:val="center"/>
            </w:pPr>
            <w:r>
              <w:rPr>
                <w:rFonts w:ascii="宋体" w:hAnsi="宋体" w:eastAsia="宋体" w:cs="宋体"/>
                <w:b w:val="0"/>
              </w:rPr>
              <w:t>E</w:t>
            </w:r>
          </w:p>
        </w:tc>
        <w:tc>
          <w:tcPr>
            <w:tcW w:w="0" w:type="dxa"/>
          </w:tcPr>
          <w:p w14:paraId="37DE0C6D">
            <w:pPr>
              <w:spacing w:line="240" w:lineRule="auto"/>
              <w:jc w:val="left"/>
            </w:pPr>
            <w:r>
              <w:rPr>
                <w:rFonts w:ascii="宋体" w:hAnsi="宋体" w:eastAsia="宋体" w:cs="宋体"/>
                <w:b w:val="0"/>
              </w:rPr>
              <w:t>建筑业</w:t>
            </w:r>
          </w:p>
        </w:tc>
        <w:tc>
          <w:tcPr>
            <w:tcW w:w="0" w:type="dxa"/>
          </w:tcPr>
          <w:p w14:paraId="342A9473">
            <w:pPr>
              <w:spacing w:line="240" w:lineRule="auto"/>
              <w:jc w:val="right"/>
            </w:pPr>
            <w:r>
              <w:rPr>
                <w:rFonts w:ascii="宋体" w:hAnsi="宋体" w:eastAsia="宋体" w:cs="宋体"/>
                <w:b w:val="0"/>
              </w:rPr>
              <w:t>7,024,836.00</w:t>
            </w:r>
          </w:p>
        </w:tc>
        <w:tc>
          <w:tcPr>
            <w:tcW w:w="0" w:type="dxa"/>
          </w:tcPr>
          <w:p w14:paraId="798738E4">
            <w:pPr>
              <w:spacing w:line="240" w:lineRule="auto"/>
              <w:jc w:val="right"/>
            </w:pPr>
            <w:r>
              <w:rPr>
                <w:rFonts w:ascii="宋体" w:hAnsi="宋体" w:eastAsia="宋体" w:cs="宋体"/>
                <w:b w:val="0"/>
              </w:rPr>
              <w:t>2.18</w:t>
            </w:r>
          </w:p>
        </w:tc>
      </w:tr>
      <w:tr w14:paraId="7A9FE0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CE4FB23">
            <w:pPr>
              <w:spacing w:line="240" w:lineRule="auto"/>
              <w:jc w:val="center"/>
            </w:pPr>
            <w:r>
              <w:rPr>
                <w:rFonts w:ascii="宋体" w:hAnsi="宋体" w:eastAsia="宋体" w:cs="宋体"/>
                <w:b w:val="0"/>
              </w:rPr>
              <w:t>F</w:t>
            </w:r>
          </w:p>
        </w:tc>
        <w:tc>
          <w:tcPr>
            <w:tcW w:w="0" w:type="dxa"/>
          </w:tcPr>
          <w:p w14:paraId="799E0640">
            <w:pPr>
              <w:spacing w:line="240" w:lineRule="auto"/>
              <w:jc w:val="left"/>
            </w:pPr>
            <w:r>
              <w:rPr>
                <w:rFonts w:ascii="宋体" w:hAnsi="宋体" w:eastAsia="宋体" w:cs="宋体"/>
                <w:b w:val="0"/>
              </w:rPr>
              <w:t>批发和零售业</w:t>
            </w:r>
          </w:p>
        </w:tc>
        <w:tc>
          <w:tcPr>
            <w:tcW w:w="0" w:type="dxa"/>
          </w:tcPr>
          <w:p w14:paraId="5D829701">
            <w:pPr>
              <w:spacing w:line="240" w:lineRule="auto"/>
              <w:jc w:val="right"/>
            </w:pPr>
            <w:r>
              <w:rPr>
                <w:rFonts w:ascii="宋体" w:hAnsi="宋体" w:eastAsia="宋体" w:cs="宋体"/>
                <w:b w:val="0"/>
              </w:rPr>
              <w:t>6,236,300.00</w:t>
            </w:r>
          </w:p>
        </w:tc>
        <w:tc>
          <w:tcPr>
            <w:tcW w:w="0" w:type="dxa"/>
          </w:tcPr>
          <w:p w14:paraId="55A739A0">
            <w:pPr>
              <w:spacing w:line="240" w:lineRule="auto"/>
              <w:jc w:val="right"/>
            </w:pPr>
            <w:r>
              <w:rPr>
                <w:rFonts w:ascii="宋体" w:hAnsi="宋体" w:eastAsia="宋体" w:cs="宋体"/>
                <w:b w:val="0"/>
              </w:rPr>
              <w:t>1.94</w:t>
            </w:r>
          </w:p>
        </w:tc>
      </w:tr>
      <w:tr w14:paraId="21890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2D5EA8F">
            <w:pPr>
              <w:spacing w:line="240" w:lineRule="auto"/>
              <w:jc w:val="center"/>
            </w:pPr>
            <w:r>
              <w:rPr>
                <w:rFonts w:ascii="宋体" w:hAnsi="宋体" w:eastAsia="宋体" w:cs="宋体"/>
                <w:b w:val="0"/>
              </w:rPr>
              <w:t>G</w:t>
            </w:r>
          </w:p>
        </w:tc>
        <w:tc>
          <w:tcPr>
            <w:tcW w:w="0" w:type="dxa"/>
          </w:tcPr>
          <w:p w14:paraId="55129715">
            <w:pPr>
              <w:spacing w:line="240" w:lineRule="auto"/>
              <w:jc w:val="left"/>
            </w:pPr>
            <w:r>
              <w:rPr>
                <w:rFonts w:ascii="宋体" w:hAnsi="宋体" w:eastAsia="宋体" w:cs="宋体"/>
                <w:b w:val="0"/>
              </w:rPr>
              <w:t>交通运输、仓储和邮政业</w:t>
            </w:r>
          </w:p>
        </w:tc>
        <w:tc>
          <w:tcPr>
            <w:tcW w:w="0" w:type="dxa"/>
          </w:tcPr>
          <w:p w14:paraId="2FFC082C">
            <w:pPr>
              <w:spacing w:line="240" w:lineRule="auto"/>
              <w:jc w:val="right"/>
            </w:pPr>
            <w:r>
              <w:rPr>
                <w:rFonts w:ascii="宋体" w:hAnsi="宋体" w:eastAsia="宋体" w:cs="宋体"/>
                <w:b w:val="0"/>
              </w:rPr>
              <w:t>-</w:t>
            </w:r>
          </w:p>
        </w:tc>
        <w:tc>
          <w:tcPr>
            <w:tcW w:w="0" w:type="dxa"/>
          </w:tcPr>
          <w:p w14:paraId="6BA43499">
            <w:pPr>
              <w:spacing w:line="240" w:lineRule="auto"/>
              <w:jc w:val="right"/>
            </w:pPr>
            <w:r>
              <w:rPr>
                <w:rFonts w:ascii="宋体" w:hAnsi="宋体" w:eastAsia="宋体" w:cs="宋体"/>
                <w:b w:val="0"/>
              </w:rPr>
              <w:t>-</w:t>
            </w:r>
          </w:p>
        </w:tc>
      </w:tr>
      <w:tr w14:paraId="3933D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B604B77">
            <w:pPr>
              <w:spacing w:line="240" w:lineRule="auto"/>
              <w:jc w:val="center"/>
            </w:pPr>
            <w:r>
              <w:rPr>
                <w:rFonts w:ascii="宋体" w:hAnsi="宋体" w:eastAsia="宋体" w:cs="宋体"/>
                <w:b w:val="0"/>
              </w:rPr>
              <w:t>H</w:t>
            </w:r>
          </w:p>
        </w:tc>
        <w:tc>
          <w:tcPr>
            <w:tcW w:w="0" w:type="dxa"/>
          </w:tcPr>
          <w:p w14:paraId="7C525301">
            <w:pPr>
              <w:spacing w:line="240" w:lineRule="auto"/>
              <w:jc w:val="left"/>
            </w:pPr>
            <w:r>
              <w:rPr>
                <w:rFonts w:ascii="宋体" w:hAnsi="宋体" w:eastAsia="宋体" w:cs="宋体"/>
                <w:b w:val="0"/>
              </w:rPr>
              <w:t>住宿和餐饮业</w:t>
            </w:r>
          </w:p>
        </w:tc>
        <w:tc>
          <w:tcPr>
            <w:tcW w:w="0" w:type="dxa"/>
          </w:tcPr>
          <w:p w14:paraId="434B9F5D">
            <w:pPr>
              <w:spacing w:line="240" w:lineRule="auto"/>
              <w:jc w:val="right"/>
            </w:pPr>
            <w:r>
              <w:rPr>
                <w:rFonts w:ascii="宋体" w:hAnsi="宋体" w:eastAsia="宋体" w:cs="宋体"/>
                <w:b w:val="0"/>
              </w:rPr>
              <w:t>-</w:t>
            </w:r>
          </w:p>
        </w:tc>
        <w:tc>
          <w:tcPr>
            <w:tcW w:w="0" w:type="dxa"/>
          </w:tcPr>
          <w:p w14:paraId="7D8B8E3A">
            <w:pPr>
              <w:spacing w:line="240" w:lineRule="auto"/>
              <w:jc w:val="right"/>
            </w:pPr>
            <w:r>
              <w:rPr>
                <w:rFonts w:ascii="宋体" w:hAnsi="宋体" w:eastAsia="宋体" w:cs="宋体"/>
                <w:b w:val="0"/>
              </w:rPr>
              <w:t>-</w:t>
            </w:r>
          </w:p>
        </w:tc>
      </w:tr>
      <w:tr w14:paraId="44D4D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D865AEF">
            <w:pPr>
              <w:spacing w:line="240" w:lineRule="auto"/>
              <w:jc w:val="center"/>
            </w:pPr>
            <w:r>
              <w:rPr>
                <w:rFonts w:ascii="宋体" w:hAnsi="宋体" w:eastAsia="宋体" w:cs="宋体"/>
                <w:b w:val="0"/>
              </w:rPr>
              <w:t>I</w:t>
            </w:r>
          </w:p>
        </w:tc>
        <w:tc>
          <w:tcPr>
            <w:tcW w:w="0" w:type="dxa"/>
          </w:tcPr>
          <w:p w14:paraId="4005CF77">
            <w:pPr>
              <w:spacing w:line="240" w:lineRule="auto"/>
              <w:jc w:val="left"/>
            </w:pPr>
            <w:r>
              <w:rPr>
                <w:rFonts w:ascii="宋体" w:hAnsi="宋体" w:eastAsia="宋体" w:cs="宋体"/>
                <w:b w:val="0"/>
              </w:rPr>
              <w:t>信息传输、软件和信息技术服务业</w:t>
            </w:r>
          </w:p>
        </w:tc>
        <w:tc>
          <w:tcPr>
            <w:tcW w:w="0" w:type="dxa"/>
          </w:tcPr>
          <w:p w14:paraId="5F63F5DE">
            <w:pPr>
              <w:spacing w:line="240" w:lineRule="auto"/>
              <w:jc w:val="right"/>
            </w:pPr>
            <w:r>
              <w:rPr>
                <w:rFonts w:ascii="宋体" w:hAnsi="宋体" w:eastAsia="宋体" w:cs="宋体"/>
                <w:b w:val="0"/>
              </w:rPr>
              <w:t>7,080,413.00</w:t>
            </w:r>
          </w:p>
        </w:tc>
        <w:tc>
          <w:tcPr>
            <w:tcW w:w="0" w:type="dxa"/>
          </w:tcPr>
          <w:p w14:paraId="55459120">
            <w:pPr>
              <w:spacing w:line="240" w:lineRule="auto"/>
              <w:jc w:val="right"/>
            </w:pPr>
            <w:r>
              <w:rPr>
                <w:rFonts w:ascii="宋体" w:hAnsi="宋体" w:eastAsia="宋体" w:cs="宋体"/>
                <w:b w:val="0"/>
              </w:rPr>
              <w:t>2.20</w:t>
            </w:r>
          </w:p>
        </w:tc>
      </w:tr>
      <w:tr w14:paraId="43CF5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E925343">
            <w:pPr>
              <w:spacing w:line="240" w:lineRule="auto"/>
              <w:jc w:val="center"/>
            </w:pPr>
            <w:r>
              <w:rPr>
                <w:rFonts w:ascii="宋体" w:hAnsi="宋体" w:eastAsia="宋体" w:cs="宋体"/>
                <w:b w:val="0"/>
              </w:rPr>
              <w:t>J</w:t>
            </w:r>
          </w:p>
        </w:tc>
        <w:tc>
          <w:tcPr>
            <w:tcW w:w="0" w:type="dxa"/>
          </w:tcPr>
          <w:p w14:paraId="6AC7647B">
            <w:pPr>
              <w:spacing w:line="240" w:lineRule="auto"/>
              <w:jc w:val="left"/>
            </w:pPr>
            <w:r>
              <w:rPr>
                <w:rFonts w:ascii="宋体" w:hAnsi="宋体" w:eastAsia="宋体" w:cs="宋体"/>
                <w:b w:val="0"/>
              </w:rPr>
              <w:t>金融业</w:t>
            </w:r>
          </w:p>
        </w:tc>
        <w:tc>
          <w:tcPr>
            <w:tcW w:w="0" w:type="dxa"/>
          </w:tcPr>
          <w:p w14:paraId="5A3DD5CE">
            <w:pPr>
              <w:spacing w:line="240" w:lineRule="auto"/>
              <w:jc w:val="right"/>
            </w:pPr>
            <w:r>
              <w:rPr>
                <w:rFonts w:ascii="宋体" w:hAnsi="宋体" w:eastAsia="宋体" w:cs="宋体"/>
                <w:b w:val="0"/>
              </w:rPr>
              <w:t>-</w:t>
            </w:r>
          </w:p>
        </w:tc>
        <w:tc>
          <w:tcPr>
            <w:tcW w:w="0" w:type="dxa"/>
          </w:tcPr>
          <w:p w14:paraId="3F56B4F2">
            <w:pPr>
              <w:spacing w:line="240" w:lineRule="auto"/>
              <w:jc w:val="right"/>
            </w:pPr>
            <w:r>
              <w:rPr>
                <w:rFonts w:ascii="宋体" w:hAnsi="宋体" w:eastAsia="宋体" w:cs="宋体"/>
                <w:b w:val="0"/>
              </w:rPr>
              <w:t>-</w:t>
            </w:r>
          </w:p>
        </w:tc>
      </w:tr>
      <w:tr w14:paraId="0E74A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79959E3">
            <w:pPr>
              <w:spacing w:line="240" w:lineRule="auto"/>
              <w:jc w:val="center"/>
            </w:pPr>
            <w:r>
              <w:rPr>
                <w:rFonts w:ascii="宋体" w:hAnsi="宋体" w:eastAsia="宋体" w:cs="宋体"/>
                <w:b w:val="0"/>
              </w:rPr>
              <w:t>K</w:t>
            </w:r>
          </w:p>
        </w:tc>
        <w:tc>
          <w:tcPr>
            <w:tcW w:w="0" w:type="dxa"/>
          </w:tcPr>
          <w:p w14:paraId="1551C790">
            <w:pPr>
              <w:spacing w:line="240" w:lineRule="auto"/>
              <w:jc w:val="left"/>
            </w:pPr>
            <w:r>
              <w:rPr>
                <w:rFonts w:ascii="宋体" w:hAnsi="宋体" w:eastAsia="宋体" w:cs="宋体"/>
                <w:b w:val="0"/>
              </w:rPr>
              <w:t>房地产业</w:t>
            </w:r>
          </w:p>
        </w:tc>
        <w:tc>
          <w:tcPr>
            <w:tcW w:w="0" w:type="dxa"/>
          </w:tcPr>
          <w:p w14:paraId="5B919F07">
            <w:pPr>
              <w:spacing w:line="240" w:lineRule="auto"/>
              <w:jc w:val="right"/>
            </w:pPr>
            <w:r>
              <w:rPr>
                <w:rFonts w:ascii="宋体" w:hAnsi="宋体" w:eastAsia="宋体" w:cs="宋体"/>
                <w:b w:val="0"/>
              </w:rPr>
              <w:t>-</w:t>
            </w:r>
          </w:p>
        </w:tc>
        <w:tc>
          <w:tcPr>
            <w:tcW w:w="0" w:type="dxa"/>
          </w:tcPr>
          <w:p w14:paraId="4654E726">
            <w:pPr>
              <w:spacing w:line="240" w:lineRule="auto"/>
              <w:jc w:val="right"/>
            </w:pPr>
            <w:r>
              <w:rPr>
                <w:rFonts w:ascii="宋体" w:hAnsi="宋体" w:eastAsia="宋体" w:cs="宋体"/>
                <w:b w:val="0"/>
              </w:rPr>
              <w:t>-</w:t>
            </w:r>
          </w:p>
        </w:tc>
      </w:tr>
      <w:tr w14:paraId="4356B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315BD78">
            <w:pPr>
              <w:spacing w:line="240" w:lineRule="auto"/>
              <w:jc w:val="center"/>
            </w:pPr>
            <w:r>
              <w:rPr>
                <w:rFonts w:ascii="宋体" w:hAnsi="宋体" w:eastAsia="宋体" w:cs="宋体"/>
                <w:b w:val="0"/>
              </w:rPr>
              <w:t>L</w:t>
            </w:r>
          </w:p>
        </w:tc>
        <w:tc>
          <w:tcPr>
            <w:tcW w:w="0" w:type="dxa"/>
          </w:tcPr>
          <w:p w14:paraId="4CA13A6F">
            <w:pPr>
              <w:spacing w:line="240" w:lineRule="auto"/>
              <w:jc w:val="left"/>
            </w:pPr>
            <w:r>
              <w:rPr>
                <w:rFonts w:ascii="宋体" w:hAnsi="宋体" w:eastAsia="宋体" w:cs="宋体"/>
                <w:b w:val="0"/>
              </w:rPr>
              <w:t>租赁和商务服务业</w:t>
            </w:r>
          </w:p>
        </w:tc>
        <w:tc>
          <w:tcPr>
            <w:tcW w:w="0" w:type="dxa"/>
          </w:tcPr>
          <w:p w14:paraId="0D694A59">
            <w:pPr>
              <w:spacing w:line="240" w:lineRule="auto"/>
              <w:jc w:val="right"/>
            </w:pPr>
            <w:r>
              <w:rPr>
                <w:rFonts w:ascii="宋体" w:hAnsi="宋体" w:eastAsia="宋体" w:cs="宋体"/>
                <w:b w:val="0"/>
              </w:rPr>
              <w:t>-</w:t>
            </w:r>
          </w:p>
        </w:tc>
        <w:tc>
          <w:tcPr>
            <w:tcW w:w="0" w:type="dxa"/>
          </w:tcPr>
          <w:p w14:paraId="517BD30F">
            <w:pPr>
              <w:spacing w:line="240" w:lineRule="auto"/>
              <w:jc w:val="right"/>
            </w:pPr>
            <w:r>
              <w:rPr>
                <w:rFonts w:ascii="宋体" w:hAnsi="宋体" w:eastAsia="宋体" w:cs="宋体"/>
                <w:b w:val="0"/>
              </w:rPr>
              <w:t>-</w:t>
            </w:r>
          </w:p>
        </w:tc>
      </w:tr>
      <w:tr w14:paraId="74B2B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A4EFDCF">
            <w:pPr>
              <w:spacing w:line="240" w:lineRule="auto"/>
              <w:jc w:val="center"/>
            </w:pPr>
            <w:r>
              <w:rPr>
                <w:rFonts w:ascii="宋体" w:hAnsi="宋体" w:eastAsia="宋体" w:cs="宋体"/>
                <w:b w:val="0"/>
              </w:rPr>
              <w:t>M</w:t>
            </w:r>
          </w:p>
        </w:tc>
        <w:tc>
          <w:tcPr>
            <w:tcW w:w="0" w:type="dxa"/>
          </w:tcPr>
          <w:p w14:paraId="0561A432">
            <w:pPr>
              <w:spacing w:line="240" w:lineRule="auto"/>
              <w:jc w:val="left"/>
            </w:pPr>
            <w:r>
              <w:rPr>
                <w:rFonts w:ascii="宋体" w:hAnsi="宋体" w:eastAsia="宋体" w:cs="宋体"/>
                <w:b w:val="0"/>
              </w:rPr>
              <w:t>科学研究和技术服务业</w:t>
            </w:r>
          </w:p>
        </w:tc>
        <w:tc>
          <w:tcPr>
            <w:tcW w:w="0" w:type="dxa"/>
          </w:tcPr>
          <w:p w14:paraId="2DC00138">
            <w:pPr>
              <w:spacing w:line="240" w:lineRule="auto"/>
              <w:jc w:val="right"/>
            </w:pPr>
            <w:r>
              <w:rPr>
                <w:rFonts w:ascii="宋体" w:hAnsi="宋体" w:eastAsia="宋体" w:cs="宋体"/>
                <w:b w:val="0"/>
              </w:rPr>
              <w:t>5,738,285.36</w:t>
            </w:r>
          </w:p>
        </w:tc>
        <w:tc>
          <w:tcPr>
            <w:tcW w:w="0" w:type="dxa"/>
          </w:tcPr>
          <w:p w14:paraId="33496370">
            <w:pPr>
              <w:spacing w:line="240" w:lineRule="auto"/>
              <w:jc w:val="right"/>
            </w:pPr>
            <w:r>
              <w:rPr>
                <w:rFonts w:ascii="宋体" w:hAnsi="宋体" w:eastAsia="宋体" w:cs="宋体"/>
                <w:b w:val="0"/>
              </w:rPr>
              <w:t>1.78</w:t>
            </w:r>
          </w:p>
        </w:tc>
      </w:tr>
      <w:tr w14:paraId="4C34A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D034E61">
            <w:pPr>
              <w:spacing w:line="240" w:lineRule="auto"/>
              <w:jc w:val="center"/>
            </w:pPr>
            <w:r>
              <w:rPr>
                <w:rFonts w:ascii="宋体" w:hAnsi="宋体" w:eastAsia="宋体" w:cs="宋体"/>
                <w:b w:val="0"/>
              </w:rPr>
              <w:t>N</w:t>
            </w:r>
          </w:p>
        </w:tc>
        <w:tc>
          <w:tcPr>
            <w:tcW w:w="0" w:type="dxa"/>
          </w:tcPr>
          <w:p w14:paraId="78684FDC">
            <w:pPr>
              <w:spacing w:line="240" w:lineRule="auto"/>
              <w:jc w:val="left"/>
            </w:pPr>
            <w:r>
              <w:rPr>
                <w:rFonts w:ascii="宋体" w:hAnsi="宋体" w:eastAsia="宋体" w:cs="宋体"/>
                <w:b w:val="0"/>
              </w:rPr>
              <w:t>水利、环境和公共设施管理业</w:t>
            </w:r>
          </w:p>
        </w:tc>
        <w:tc>
          <w:tcPr>
            <w:tcW w:w="0" w:type="dxa"/>
          </w:tcPr>
          <w:p w14:paraId="12E733E4">
            <w:pPr>
              <w:spacing w:line="240" w:lineRule="auto"/>
              <w:jc w:val="right"/>
            </w:pPr>
            <w:r>
              <w:rPr>
                <w:rFonts w:ascii="宋体" w:hAnsi="宋体" w:eastAsia="宋体" w:cs="宋体"/>
                <w:b w:val="0"/>
              </w:rPr>
              <w:t>-</w:t>
            </w:r>
          </w:p>
        </w:tc>
        <w:tc>
          <w:tcPr>
            <w:tcW w:w="0" w:type="dxa"/>
          </w:tcPr>
          <w:p w14:paraId="51146B5C">
            <w:pPr>
              <w:spacing w:line="240" w:lineRule="auto"/>
              <w:jc w:val="right"/>
            </w:pPr>
            <w:r>
              <w:rPr>
                <w:rFonts w:ascii="宋体" w:hAnsi="宋体" w:eastAsia="宋体" w:cs="宋体"/>
                <w:b w:val="0"/>
              </w:rPr>
              <w:t>-</w:t>
            </w:r>
          </w:p>
        </w:tc>
      </w:tr>
      <w:tr w14:paraId="1DADEA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26C4711">
            <w:pPr>
              <w:spacing w:line="240" w:lineRule="auto"/>
              <w:jc w:val="center"/>
            </w:pPr>
            <w:r>
              <w:rPr>
                <w:rFonts w:ascii="宋体" w:hAnsi="宋体" w:eastAsia="宋体" w:cs="宋体"/>
                <w:b w:val="0"/>
              </w:rPr>
              <w:t>O</w:t>
            </w:r>
          </w:p>
        </w:tc>
        <w:tc>
          <w:tcPr>
            <w:tcW w:w="0" w:type="dxa"/>
          </w:tcPr>
          <w:p w14:paraId="0873F449">
            <w:pPr>
              <w:spacing w:line="240" w:lineRule="auto"/>
              <w:jc w:val="left"/>
            </w:pPr>
            <w:r>
              <w:rPr>
                <w:rFonts w:ascii="宋体" w:hAnsi="宋体" w:eastAsia="宋体" w:cs="宋体"/>
                <w:b w:val="0"/>
              </w:rPr>
              <w:t>居民服务、修理和其他服务业</w:t>
            </w:r>
          </w:p>
        </w:tc>
        <w:tc>
          <w:tcPr>
            <w:tcW w:w="0" w:type="dxa"/>
          </w:tcPr>
          <w:p w14:paraId="5CBA97E1">
            <w:pPr>
              <w:spacing w:line="240" w:lineRule="auto"/>
              <w:jc w:val="right"/>
            </w:pPr>
            <w:r>
              <w:rPr>
                <w:rFonts w:ascii="宋体" w:hAnsi="宋体" w:eastAsia="宋体" w:cs="宋体"/>
                <w:b w:val="0"/>
              </w:rPr>
              <w:t>-</w:t>
            </w:r>
          </w:p>
        </w:tc>
        <w:tc>
          <w:tcPr>
            <w:tcW w:w="0" w:type="dxa"/>
          </w:tcPr>
          <w:p w14:paraId="3E95BAF3">
            <w:pPr>
              <w:spacing w:line="240" w:lineRule="auto"/>
              <w:jc w:val="right"/>
            </w:pPr>
            <w:r>
              <w:rPr>
                <w:rFonts w:ascii="宋体" w:hAnsi="宋体" w:eastAsia="宋体" w:cs="宋体"/>
                <w:b w:val="0"/>
              </w:rPr>
              <w:t>-</w:t>
            </w:r>
          </w:p>
        </w:tc>
      </w:tr>
      <w:tr w14:paraId="2D15D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0F076AE">
            <w:pPr>
              <w:spacing w:line="240" w:lineRule="auto"/>
              <w:jc w:val="center"/>
            </w:pPr>
            <w:r>
              <w:rPr>
                <w:rFonts w:ascii="宋体" w:hAnsi="宋体" w:eastAsia="宋体" w:cs="宋体"/>
                <w:b w:val="0"/>
              </w:rPr>
              <w:t>P</w:t>
            </w:r>
          </w:p>
        </w:tc>
        <w:tc>
          <w:tcPr>
            <w:tcW w:w="0" w:type="dxa"/>
          </w:tcPr>
          <w:p w14:paraId="24C904D7">
            <w:pPr>
              <w:spacing w:line="240" w:lineRule="auto"/>
              <w:jc w:val="left"/>
            </w:pPr>
            <w:r>
              <w:rPr>
                <w:rFonts w:ascii="宋体" w:hAnsi="宋体" w:eastAsia="宋体" w:cs="宋体"/>
                <w:b w:val="0"/>
              </w:rPr>
              <w:t>教育</w:t>
            </w:r>
          </w:p>
        </w:tc>
        <w:tc>
          <w:tcPr>
            <w:tcW w:w="0" w:type="dxa"/>
          </w:tcPr>
          <w:p w14:paraId="22DC183C">
            <w:pPr>
              <w:spacing w:line="240" w:lineRule="auto"/>
              <w:jc w:val="right"/>
            </w:pPr>
            <w:r>
              <w:rPr>
                <w:rFonts w:ascii="宋体" w:hAnsi="宋体" w:eastAsia="宋体" w:cs="宋体"/>
                <w:b w:val="0"/>
              </w:rPr>
              <w:t>-</w:t>
            </w:r>
          </w:p>
        </w:tc>
        <w:tc>
          <w:tcPr>
            <w:tcW w:w="0" w:type="dxa"/>
          </w:tcPr>
          <w:p w14:paraId="24203A14">
            <w:pPr>
              <w:spacing w:line="240" w:lineRule="auto"/>
              <w:jc w:val="right"/>
            </w:pPr>
            <w:r>
              <w:rPr>
                <w:rFonts w:ascii="宋体" w:hAnsi="宋体" w:eastAsia="宋体" w:cs="宋体"/>
                <w:b w:val="0"/>
              </w:rPr>
              <w:t>-</w:t>
            </w:r>
          </w:p>
        </w:tc>
      </w:tr>
      <w:tr w14:paraId="15D9C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5C0638A">
            <w:pPr>
              <w:spacing w:line="240" w:lineRule="auto"/>
              <w:jc w:val="center"/>
            </w:pPr>
            <w:r>
              <w:rPr>
                <w:rFonts w:ascii="宋体" w:hAnsi="宋体" w:eastAsia="宋体" w:cs="宋体"/>
                <w:b w:val="0"/>
              </w:rPr>
              <w:t>Q</w:t>
            </w:r>
          </w:p>
        </w:tc>
        <w:tc>
          <w:tcPr>
            <w:tcW w:w="0" w:type="dxa"/>
          </w:tcPr>
          <w:p w14:paraId="2F5E9307">
            <w:pPr>
              <w:spacing w:line="240" w:lineRule="auto"/>
              <w:jc w:val="left"/>
            </w:pPr>
            <w:r>
              <w:rPr>
                <w:rFonts w:ascii="宋体" w:hAnsi="宋体" w:eastAsia="宋体" w:cs="宋体"/>
                <w:b w:val="0"/>
              </w:rPr>
              <w:t>卫生和社会工作</w:t>
            </w:r>
          </w:p>
        </w:tc>
        <w:tc>
          <w:tcPr>
            <w:tcW w:w="0" w:type="dxa"/>
          </w:tcPr>
          <w:p w14:paraId="7EB3AA75">
            <w:pPr>
              <w:spacing w:line="240" w:lineRule="auto"/>
              <w:jc w:val="right"/>
            </w:pPr>
            <w:r>
              <w:rPr>
                <w:rFonts w:ascii="宋体" w:hAnsi="宋体" w:eastAsia="宋体" w:cs="宋体"/>
                <w:b w:val="0"/>
              </w:rPr>
              <w:t>-</w:t>
            </w:r>
          </w:p>
        </w:tc>
        <w:tc>
          <w:tcPr>
            <w:tcW w:w="0" w:type="dxa"/>
          </w:tcPr>
          <w:p w14:paraId="04EE294E">
            <w:pPr>
              <w:spacing w:line="240" w:lineRule="auto"/>
              <w:jc w:val="right"/>
            </w:pPr>
            <w:r>
              <w:rPr>
                <w:rFonts w:ascii="宋体" w:hAnsi="宋体" w:eastAsia="宋体" w:cs="宋体"/>
                <w:b w:val="0"/>
              </w:rPr>
              <w:t>-</w:t>
            </w:r>
          </w:p>
        </w:tc>
      </w:tr>
      <w:tr w14:paraId="5D1A4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79C75DD">
            <w:pPr>
              <w:spacing w:line="240" w:lineRule="auto"/>
              <w:jc w:val="center"/>
            </w:pPr>
            <w:r>
              <w:rPr>
                <w:rFonts w:ascii="宋体" w:hAnsi="宋体" w:eastAsia="宋体" w:cs="宋体"/>
                <w:b w:val="0"/>
              </w:rPr>
              <w:t>R</w:t>
            </w:r>
          </w:p>
        </w:tc>
        <w:tc>
          <w:tcPr>
            <w:tcW w:w="0" w:type="dxa"/>
          </w:tcPr>
          <w:p w14:paraId="3BC94BC2">
            <w:pPr>
              <w:spacing w:line="240" w:lineRule="auto"/>
              <w:jc w:val="left"/>
            </w:pPr>
            <w:r>
              <w:rPr>
                <w:rFonts w:ascii="宋体" w:hAnsi="宋体" w:eastAsia="宋体" w:cs="宋体"/>
                <w:b w:val="0"/>
              </w:rPr>
              <w:t>文化、体育和娱乐业</w:t>
            </w:r>
          </w:p>
        </w:tc>
        <w:tc>
          <w:tcPr>
            <w:tcW w:w="0" w:type="dxa"/>
          </w:tcPr>
          <w:p w14:paraId="426721E6">
            <w:pPr>
              <w:spacing w:line="240" w:lineRule="auto"/>
              <w:jc w:val="right"/>
            </w:pPr>
            <w:r>
              <w:rPr>
                <w:rFonts w:ascii="宋体" w:hAnsi="宋体" w:eastAsia="宋体" w:cs="宋体"/>
                <w:b w:val="0"/>
              </w:rPr>
              <w:t>-</w:t>
            </w:r>
          </w:p>
        </w:tc>
        <w:tc>
          <w:tcPr>
            <w:tcW w:w="0" w:type="dxa"/>
          </w:tcPr>
          <w:p w14:paraId="46D97752">
            <w:pPr>
              <w:spacing w:line="240" w:lineRule="auto"/>
              <w:jc w:val="right"/>
            </w:pPr>
            <w:r>
              <w:rPr>
                <w:rFonts w:ascii="宋体" w:hAnsi="宋体" w:eastAsia="宋体" w:cs="宋体"/>
                <w:b w:val="0"/>
              </w:rPr>
              <w:t>-</w:t>
            </w:r>
          </w:p>
        </w:tc>
      </w:tr>
      <w:tr w14:paraId="191D2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5513739">
            <w:pPr>
              <w:spacing w:line="240" w:lineRule="auto"/>
              <w:jc w:val="center"/>
            </w:pPr>
            <w:r>
              <w:rPr>
                <w:rFonts w:ascii="宋体" w:hAnsi="宋体" w:eastAsia="宋体" w:cs="宋体"/>
                <w:b w:val="0"/>
              </w:rPr>
              <w:t>S</w:t>
            </w:r>
          </w:p>
        </w:tc>
        <w:tc>
          <w:tcPr>
            <w:tcW w:w="0" w:type="dxa"/>
          </w:tcPr>
          <w:p w14:paraId="38AE51D7">
            <w:pPr>
              <w:spacing w:line="240" w:lineRule="auto"/>
              <w:jc w:val="left"/>
            </w:pPr>
            <w:r>
              <w:rPr>
                <w:rFonts w:ascii="宋体" w:hAnsi="宋体" w:eastAsia="宋体" w:cs="宋体"/>
                <w:b w:val="0"/>
              </w:rPr>
              <w:t>综合</w:t>
            </w:r>
          </w:p>
        </w:tc>
        <w:tc>
          <w:tcPr>
            <w:tcW w:w="0" w:type="dxa"/>
          </w:tcPr>
          <w:p w14:paraId="10E9BCF5">
            <w:pPr>
              <w:spacing w:line="240" w:lineRule="auto"/>
              <w:jc w:val="right"/>
            </w:pPr>
            <w:r>
              <w:rPr>
                <w:rFonts w:ascii="宋体" w:hAnsi="宋体" w:eastAsia="宋体" w:cs="宋体"/>
                <w:b w:val="0"/>
              </w:rPr>
              <w:t>-</w:t>
            </w:r>
          </w:p>
        </w:tc>
        <w:tc>
          <w:tcPr>
            <w:tcW w:w="0" w:type="dxa"/>
          </w:tcPr>
          <w:p w14:paraId="3F3C3E67">
            <w:pPr>
              <w:spacing w:line="240" w:lineRule="auto"/>
              <w:jc w:val="right"/>
            </w:pPr>
            <w:r>
              <w:rPr>
                <w:rFonts w:ascii="宋体" w:hAnsi="宋体" w:eastAsia="宋体" w:cs="宋体"/>
                <w:b w:val="0"/>
              </w:rPr>
              <w:t>-</w:t>
            </w:r>
          </w:p>
        </w:tc>
      </w:tr>
      <w:tr w14:paraId="4312A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70C0251">
            <w:pPr>
              <w:spacing w:line="240" w:lineRule="auto"/>
              <w:jc w:val="center"/>
            </w:pPr>
          </w:p>
        </w:tc>
        <w:tc>
          <w:tcPr>
            <w:tcW w:w="0" w:type="dxa"/>
          </w:tcPr>
          <w:p w14:paraId="6DF3E692">
            <w:pPr>
              <w:spacing w:line="240" w:lineRule="auto"/>
              <w:jc w:val="left"/>
            </w:pPr>
            <w:r>
              <w:rPr>
                <w:rFonts w:ascii="宋体" w:hAnsi="宋体" w:eastAsia="宋体" w:cs="宋体"/>
                <w:b w:val="0"/>
              </w:rPr>
              <w:t>合计</w:t>
            </w:r>
          </w:p>
        </w:tc>
        <w:tc>
          <w:tcPr>
            <w:tcW w:w="0" w:type="dxa"/>
          </w:tcPr>
          <w:p w14:paraId="212875CA">
            <w:pPr>
              <w:spacing w:line="240" w:lineRule="auto"/>
              <w:jc w:val="right"/>
            </w:pPr>
            <w:r>
              <w:rPr>
                <w:rFonts w:ascii="宋体" w:hAnsi="宋体" w:eastAsia="宋体" w:cs="宋体"/>
                <w:b w:val="0"/>
              </w:rPr>
              <w:t>304,878,331.65</w:t>
            </w:r>
          </w:p>
        </w:tc>
        <w:tc>
          <w:tcPr>
            <w:tcW w:w="0" w:type="dxa"/>
          </w:tcPr>
          <w:p w14:paraId="0B6D59D0">
            <w:pPr>
              <w:spacing w:line="240" w:lineRule="auto"/>
              <w:jc w:val="right"/>
            </w:pPr>
            <w:r>
              <w:rPr>
                <w:rFonts w:ascii="宋体" w:hAnsi="宋体" w:eastAsia="宋体" w:cs="宋体"/>
                <w:b w:val="0"/>
              </w:rPr>
              <w:t>94.75</w:t>
            </w:r>
          </w:p>
        </w:tc>
      </w:tr>
    </w:tbl>
    <w:p w14:paraId="1A99E34E">
      <w:r>
        <w:rPr>
          <w:rFonts w:ascii="宋体" w:hAnsi="宋体" w:eastAsia="宋体" w:cs="宋体"/>
          <w:b/>
        </w:rPr>
        <w:t>5.2.2 报告期末按行业分类的港股通投资股票投资组合</w:t>
      </w:r>
    </w:p>
    <w:p w14:paraId="4715A5C9">
      <w:r>
        <w:rPr>
          <w:rFonts w:ascii="宋体" w:hAnsi="宋体" w:eastAsia="宋体" w:cs="宋体"/>
          <w:b w:val="0"/>
        </w:rPr>
        <w:t xml:space="preserve">    本基金本报告期末未持有港股通投资股票投资组合。</w:t>
      </w:r>
    </w:p>
    <w:p w14:paraId="45C17A21"/>
    <w:p w14:paraId="5D2BE9EC">
      <w:pPr>
        <w:pStyle w:val="3"/>
        <w:jc w:val="left"/>
      </w:pPr>
      <w:r>
        <w:rPr>
          <w:rFonts w:ascii="宋体" w:hAnsi="宋体" w:eastAsia="宋体" w:cs="宋体"/>
        </w:rPr>
        <w:t>5.3 报告期末按公允价值占基金资产净值比例大小排序的前十名股票投资明细</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7"/>
        <w:gridCol w:w="1547"/>
        <w:gridCol w:w="1548"/>
        <w:gridCol w:w="1238"/>
        <w:gridCol w:w="1858"/>
        <w:gridCol w:w="1858"/>
      </w:tblGrid>
      <w:tr w14:paraId="72521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pct"/>
            <w:shd w:val="clear" w:color="auto" w:fill="D9D9D9"/>
            <w:vAlign w:val="center"/>
          </w:tcPr>
          <w:p w14:paraId="0610BC5D">
            <w:pPr>
              <w:spacing w:line="240" w:lineRule="auto"/>
              <w:jc w:val="center"/>
            </w:pPr>
            <w:r>
              <w:rPr>
                <w:rFonts w:ascii="宋体" w:hAnsi="宋体" w:eastAsia="宋体" w:cs="宋体"/>
                <w:b w:val="0"/>
              </w:rPr>
              <w:t>序号</w:t>
            </w:r>
          </w:p>
        </w:tc>
        <w:tc>
          <w:tcPr>
            <w:tcW w:w="769" w:type="pct"/>
            <w:shd w:val="clear" w:color="auto" w:fill="D9D9D9"/>
            <w:vAlign w:val="center"/>
          </w:tcPr>
          <w:p w14:paraId="204B664C">
            <w:pPr>
              <w:spacing w:line="240" w:lineRule="auto"/>
              <w:jc w:val="center"/>
            </w:pPr>
            <w:r>
              <w:rPr>
                <w:rFonts w:ascii="宋体" w:hAnsi="宋体" w:eastAsia="宋体" w:cs="宋体"/>
                <w:b w:val="0"/>
              </w:rPr>
              <w:t>股票代码</w:t>
            </w:r>
          </w:p>
        </w:tc>
        <w:tc>
          <w:tcPr>
            <w:tcW w:w="769" w:type="pct"/>
            <w:shd w:val="clear" w:color="auto" w:fill="D9D9D9"/>
            <w:vAlign w:val="center"/>
          </w:tcPr>
          <w:p w14:paraId="72CA7B30">
            <w:pPr>
              <w:spacing w:line="240" w:lineRule="auto"/>
              <w:jc w:val="center"/>
            </w:pPr>
            <w:r>
              <w:rPr>
                <w:rFonts w:ascii="宋体" w:hAnsi="宋体" w:eastAsia="宋体" w:cs="宋体"/>
                <w:b w:val="0"/>
              </w:rPr>
              <w:t>股票名称</w:t>
            </w:r>
          </w:p>
        </w:tc>
        <w:tc>
          <w:tcPr>
            <w:tcW w:w="615" w:type="pct"/>
            <w:shd w:val="clear" w:color="auto" w:fill="D9D9D9"/>
            <w:vAlign w:val="center"/>
          </w:tcPr>
          <w:p w14:paraId="70487E85">
            <w:pPr>
              <w:spacing w:line="240" w:lineRule="auto"/>
              <w:jc w:val="center"/>
            </w:pPr>
            <w:r>
              <w:rPr>
                <w:rFonts w:ascii="宋体" w:hAnsi="宋体" w:eastAsia="宋体" w:cs="宋体"/>
                <w:b w:val="0"/>
              </w:rPr>
              <w:t>数量(股)</w:t>
            </w:r>
          </w:p>
        </w:tc>
        <w:tc>
          <w:tcPr>
            <w:tcW w:w="923" w:type="pct"/>
            <w:shd w:val="clear" w:color="auto" w:fill="D9D9D9"/>
            <w:vAlign w:val="center"/>
          </w:tcPr>
          <w:p w14:paraId="391A9D7D">
            <w:pPr>
              <w:spacing w:line="240" w:lineRule="auto"/>
              <w:jc w:val="center"/>
            </w:pPr>
            <w:r>
              <w:rPr>
                <w:rFonts w:ascii="宋体" w:hAnsi="宋体" w:eastAsia="宋体" w:cs="宋体"/>
                <w:b w:val="0"/>
              </w:rPr>
              <w:t>公允价值(元)</w:t>
            </w:r>
          </w:p>
        </w:tc>
        <w:tc>
          <w:tcPr>
            <w:tcW w:w="923" w:type="pct"/>
            <w:shd w:val="clear" w:color="auto" w:fill="D9D9D9"/>
            <w:vAlign w:val="center"/>
          </w:tcPr>
          <w:p w14:paraId="1A8B2FDA">
            <w:pPr>
              <w:spacing w:line="240" w:lineRule="auto"/>
              <w:jc w:val="center"/>
            </w:pPr>
            <w:r>
              <w:rPr>
                <w:rFonts w:ascii="宋体" w:hAnsi="宋体" w:eastAsia="宋体" w:cs="宋体"/>
                <w:b w:val="0"/>
              </w:rPr>
              <w:t>占基金资产净值比例(%)</w:t>
            </w:r>
          </w:p>
        </w:tc>
      </w:tr>
      <w:tr w14:paraId="1CD87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45D1724">
            <w:pPr>
              <w:spacing w:line="240" w:lineRule="auto"/>
              <w:jc w:val="center"/>
            </w:pPr>
            <w:r>
              <w:rPr>
                <w:rFonts w:ascii="宋体" w:hAnsi="宋体" w:eastAsia="宋体" w:cs="宋体"/>
                <w:b w:val="0"/>
              </w:rPr>
              <w:t>1</w:t>
            </w:r>
          </w:p>
        </w:tc>
        <w:tc>
          <w:tcPr>
            <w:tcW w:w="0" w:type="dxa"/>
          </w:tcPr>
          <w:p w14:paraId="6BF13184">
            <w:pPr>
              <w:spacing w:line="240" w:lineRule="auto"/>
              <w:jc w:val="left"/>
            </w:pPr>
            <w:r>
              <w:rPr>
                <w:rFonts w:ascii="宋体" w:hAnsi="宋体" w:eastAsia="宋体" w:cs="宋体"/>
                <w:b w:val="0"/>
              </w:rPr>
              <w:t>302132</w:t>
            </w:r>
          </w:p>
        </w:tc>
        <w:tc>
          <w:tcPr>
            <w:tcW w:w="0" w:type="dxa"/>
          </w:tcPr>
          <w:p w14:paraId="5716EA42">
            <w:pPr>
              <w:spacing w:line="240" w:lineRule="auto"/>
              <w:jc w:val="left"/>
            </w:pPr>
            <w:r>
              <w:rPr>
                <w:rFonts w:ascii="宋体" w:hAnsi="宋体" w:eastAsia="宋体" w:cs="宋体"/>
                <w:b w:val="0"/>
              </w:rPr>
              <w:t>中航成飞</w:t>
            </w:r>
          </w:p>
        </w:tc>
        <w:tc>
          <w:tcPr>
            <w:tcW w:w="0" w:type="dxa"/>
          </w:tcPr>
          <w:p w14:paraId="60C15307">
            <w:pPr>
              <w:spacing w:line="240" w:lineRule="auto"/>
              <w:jc w:val="right"/>
            </w:pPr>
            <w:r>
              <w:rPr>
                <w:rFonts w:ascii="宋体" w:hAnsi="宋体" w:eastAsia="宋体" w:cs="宋体"/>
                <w:b w:val="0"/>
              </w:rPr>
              <w:t>294,700</w:t>
            </w:r>
          </w:p>
        </w:tc>
        <w:tc>
          <w:tcPr>
            <w:tcW w:w="0" w:type="dxa"/>
          </w:tcPr>
          <w:p w14:paraId="2A1A0AEB">
            <w:pPr>
              <w:spacing w:line="240" w:lineRule="auto"/>
              <w:jc w:val="right"/>
            </w:pPr>
            <w:r>
              <w:rPr>
                <w:rFonts w:ascii="宋体" w:hAnsi="宋体" w:eastAsia="宋体" w:cs="宋体"/>
                <w:b w:val="0"/>
              </w:rPr>
              <w:t>25,915,918.00</w:t>
            </w:r>
          </w:p>
        </w:tc>
        <w:tc>
          <w:tcPr>
            <w:tcW w:w="0" w:type="dxa"/>
          </w:tcPr>
          <w:p w14:paraId="77BDE67A">
            <w:pPr>
              <w:spacing w:line="240" w:lineRule="auto"/>
              <w:jc w:val="right"/>
            </w:pPr>
            <w:r>
              <w:rPr>
                <w:rFonts w:ascii="宋体" w:hAnsi="宋体" w:eastAsia="宋体" w:cs="宋体"/>
                <w:b w:val="0"/>
              </w:rPr>
              <w:t>8.05</w:t>
            </w:r>
          </w:p>
        </w:tc>
      </w:tr>
      <w:tr w14:paraId="513A5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10CBE01">
            <w:pPr>
              <w:spacing w:line="240" w:lineRule="auto"/>
              <w:jc w:val="center"/>
            </w:pPr>
            <w:r>
              <w:rPr>
                <w:rFonts w:ascii="宋体" w:hAnsi="宋体" w:eastAsia="宋体" w:cs="宋体"/>
                <w:b w:val="0"/>
              </w:rPr>
              <w:t>2</w:t>
            </w:r>
          </w:p>
        </w:tc>
        <w:tc>
          <w:tcPr>
            <w:tcW w:w="0" w:type="dxa"/>
          </w:tcPr>
          <w:p w14:paraId="2405AEAA">
            <w:pPr>
              <w:spacing w:line="240" w:lineRule="auto"/>
              <w:jc w:val="left"/>
            </w:pPr>
            <w:r>
              <w:rPr>
                <w:rFonts w:ascii="宋体" w:hAnsi="宋体" w:eastAsia="宋体" w:cs="宋体"/>
                <w:b w:val="0"/>
              </w:rPr>
              <w:t>600760</w:t>
            </w:r>
          </w:p>
        </w:tc>
        <w:tc>
          <w:tcPr>
            <w:tcW w:w="0" w:type="dxa"/>
          </w:tcPr>
          <w:p w14:paraId="45288C5C">
            <w:pPr>
              <w:spacing w:line="240" w:lineRule="auto"/>
              <w:jc w:val="left"/>
            </w:pPr>
            <w:r>
              <w:rPr>
                <w:rFonts w:ascii="宋体" w:hAnsi="宋体" w:eastAsia="宋体" w:cs="宋体"/>
                <w:b w:val="0"/>
              </w:rPr>
              <w:t>中航沈飞</w:t>
            </w:r>
          </w:p>
        </w:tc>
        <w:tc>
          <w:tcPr>
            <w:tcW w:w="0" w:type="dxa"/>
          </w:tcPr>
          <w:p w14:paraId="148591BB">
            <w:pPr>
              <w:spacing w:line="240" w:lineRule="auto"/>
              <w:jc w:val="right"/>
            </w:pPr>
            <w:r>
              <w:rPr>
                <w:rFonts w:ascii="宋体" w:hAnsi="宋体" w:eastAsia="宋体" w:cs="宋体"/>
                <w:b w:val="0"/>
              </w:rPr>
              <w:t>440,064</w:t>
            </w:r>
          </w:p>
        </w:tc>
        <w:tc>
          <w:tcPr>
            <w:tcW w:w="0" w:type="dxa"/>
          </w:tcPr>
          <w:p w14:paraId="6BCFC2CB">
            <w:pPr>
              <w:spacing w:line="240" w:lineRule="auto"/>
              <w:jc w:val="right"/>
            </w:pPr>
            <w:r>
              <w:rPr>
                <w:rFonts w:ascii="宋体" w:hAnsi="宋体" w:eastAsia="宋体" w:cs="宋体"/>
                <w:b w:val="0"/>
              </w:rPr>
              <w:t>25,796,551.68</w:t>
            </w:r>
          </w:p>
        </w:tc>
        <w:tc>
          <w:tcPr>
            <w:tcW w:w="0" w:type="dxa"/>
          </w:tcPr>
          <w:p w14:paraId="15641FF3">
            <w:pPr>
              <w:spacing w:line="240" w:lineRule="auto"/>
              <w:jc w:val="right"/>
            </w:pPr>
            <w:r>
              <w:rPr>
                <w:rFonts w:ascii="宋体" w:hAnsi="宋体" w:eastAsia="宋体" w:cs="宋体"/>
                <w:b w:val="0"/>
              </w:rPr>
              <w:t>8.02</w:t>
            </w:r>
          </w:p>
        </w:tc>
      </w:tr>
      <w:tr w14:paraId="402B4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5497F40">
            <w:pPr>
              <w:spacing w:line="240" w:lineRule="auto"/>
              <w:jc w:val="center"/>
            </w:pPr>
            <w:r>
              <w:rPr>
                <w:rFonts w:ascii="宋体" w:hAnsi="宋体" w:eastAsia="宋体" w:cs="宋体"/>
                <w:b w:val="0"/>
              </w:rPr>
              <w:t>3</w:t>
            </w:r>
          </w:p>
        </w:tc>
        <w:tc>
          <w:tcPr>
            <w:tcW w:w="0" w:type="dxa"/>
          </w:tcPr>
          <w:p w14:paraId="60C55C7F">
            <w:pPr>
              <w:spacing w:line="240" w:lineRule="auto"/>
              <w:jc w:val="left"/>
            </w:pPr>
            <w:r>
              <w:rPr>
                <w:rFonts w:ascii="宋体" w:hAnsi="宋体" w:eastAsia="宋体" w:cs="宋体"/>
                <w:b w:val="0"/>
              </w:rPr>
              <w:t>688510</w:t>
            </w:r>
          </w:p>
        </w:tc>
        <w:tc>
          <w:tcPr>
            <w:tcW w:w="0" w:type="dxa"/>
          </w:tcPr>
          <w:p w14:paraId="2DBA6598">
            <w:pPr>
              <w:spacing w:line="240" w:lineRule="auto"/>
              <w:jc w:val="left"/>
            </w:pPr>
            <w:r>
              <w:rPr>
                <w:rFonts w:ascii="宋体" w:hAnsi="宋体" w:eastAsia="宋体" w:cs="宋体"/>
                <w:b w:val="0"/>
              </w:rPr>
              <w:t>航亚科技</w:t>
            </w:r>
          </w:p>
        </w:tc>
        <w:tc>
          <w:tcPr>
            <w:tcW w:w="0" w:type="dxa"/>
          </w:tcPr>
          <w:p w14:paraId="4B571059">
            <w:pPr>
              <w:spacing w:line="240" w:lineRule="auto"/>
              <w:jc w:val="right"/>
            </w:pPr>
            <w:r>
              <w:rPr>
                <w:rFonts w:ascii="宋体" w:hAnsi="宋体" w:eastAsia="宋体" w:cs="宋体"/>
                <w:b w:val="0"/>
              </w:rPr>
              <w:t>360,100</w:t>
            </w:r>
          </w:p>
        </w:tc>
        <w:tc>
          <w:tcPr>
            <w:tcW w:w="0" w:type="dxa"/>
          </w:tcPr>
          <w:p w14:paraId="5C2C0278">
            <w:pPr>
              <w:spacing w:line="240" w:lineRule="auto"/>
              <w:jc w:val="right"/>
            </w:pPr>
            <w:r>
              <w:rPr>
                <w:rFonts w:ascii="宋体" w:hAnsi="宋体" w:eastAsia="宋体" w:cs="宋体"/>
                <w:b w:val="0"/>
              </w:rPr>
              <w:t>8,707,218.00</w:t>
            </w:r>
          </w:p>
        </w:tc>
        <w:tc>
          <w:tcPr>
            <w:tcW w:w="0" w:type="dxa"/>
          </w:tcPr>
          <w:p w14:paraId="46637BBB">
            <w:pPr>
              <w:spacing w:line="240" w:lineRule="auto"/>
              <w:jc w:val="right"/>
            </w:pPr>
            <w:r>
              <w:rPr>
                <w:rFonts w:ascii="宋体" w:hAnsi="宋体" w:eastAsia="宋体" w:cs="宋体"/>
                <w:b w:val="0"/>
              </w:rPr>
              <w:t>2.71</w:t>
            </w:r>
          </w:p>
        </w:tc>
      </w:tr>
      <w:tr w14:paraId="59E89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9F2574D">
            <w:pPr>
              <w:spacing w:line="240" w:lineRule="auto"/>
              <w:jc w:val="center"/>
            </w:pPr>
            <w:r>
              <w:rPr>
                <w:rFonts w:ascii="宋体" w:hAnsi="宋体" w:eastAsia="宋体" w:cs="宋体"/>
                <w:b w:val="0"/>
              </w:rPr>
              <w:t>4</w:t>
            </w:r>
          </w:p>
        </w:tc>
        <w:tc>
          <w:tcPr>
            <w:tcW w:w="0" w:type="dxa"/>
          </w:tcPr>
          <w:p w14:paraId="4798DAFE">
            <w:pPr>
              <w:spacing w:line="240" w:lineRule="auto"/>
              <w:jc w:val="left"/>
            </w:pPr>
            <w:r>
              <w:rPr>
                <w:rFonts w:ascii="宋体" w:hAnsi="宋体" w:eastAsia="宋体" w:cs="宋体"/>
                <w:b w:val="0"/>
              </w:rPr>
              <w:t>600764</w:t>
            </w:r>
          </w:p>
        </w:tc>
        <w:tc>
          <w:tcPr>
            <w:tcW w:w="0" w:type="dxa"/>
          </w:tcPr>
          <w:p w14:paraId="648F6413">
            <w:pPr>
              <w:spacing w:line="240" w:lineRule="auto"/>
              <w:jc w:val="left"/>
            </w:pPr>
            <w:r>
              <w:rPr>
                <w:rFonts w:ascii="宋体" w:hAnsi="宋体" w:eastAsia="宋体" w:cs="宋体"/>
                <w:b w:val="0"/>
              </w:rPr>
              <w:t>中国海防</w:t>
            </w:r>
          </w:p>
        </w:tc>
        <w:tc>
          <w:tcPr>
            <w:tcW w:w="0" w:type="dxa"/>
          </w:tcPr>
          <w:p w14:paraId="616C1EBF">
            <w:pPr>
              <w:spacing w:line="240" w:lineRule="auto"/>
              <w:jc w:val="right"/>
            </w:pPr>
            <w:r>
              <w:rPr>
                <w:rFonts w:ascii="宋体" w:hAnsi="宋体" w:eastAsia="宋体" w:cs="宋体"/>
                <w:b w:val="0"/>
              </w:rPr>
              <w:t>255,500</w:t>
            </w:r>
          </w:p>
        </w:tc>
        <w:tc>
          <w:tcPr>
            <w:tcW w:w="0" w:type="dxa"/>
          </w:tcPr>
          <w:p w14:paraId="4A463548">
            <w:pPr>
              <w:spacing w:line="240" w:lineRule="auto"/>
              <w:jc w:val="right"/>
            </w:pPr>
            <w:r>
              <w:rPr>
                <w:rFonts w:ascii="宋体" w:hAnsi="宋体" w:eastAsia="宋体" w:cs="宋体"/>
                <w:b w:val="0"/>
              </w:rPr>
              <w:t>8,687,000.00</w:t>
            </w:r>
          </w:p>
        </w:tc>
        <w:tc>
          <w:tcPr>
            <w:tcW w:w="0" w:type="dxa"/>
          </w:tcPr>
          <w:p w14:paraId="7817A368">
            <w:pPr>
              <w:spacing w:line="240" w:lineRule="auto"/>
              <w:jc w:val="right"/>
            </w:pPr>
            <w:r>
              <w:rPr>
                <w:rFonts w:ascii="宋体" w:hAnsi="宋体" w:eastAsia="宋体" w:cs="宋体"/>
                <w:b w:val="0"/>
              </w:rPr>
              <w:t>2.70</w:t>
            </w:r>
          </w:p>
        </w:tc>
      </w:tr>
      <w:tr w14:paraId="46F6E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296C212">
            <w:pPr>
              <w:spacing w:line="240" w:lineRule="auto"/>
              <w:jc w:val="center"/>
            </w:pPr>
            <w:r>
              <w:rPr>
                <w:rFonts w:ascii="宋体" w:hAnsi="宋体" w:eastAsia="宋体" w:cs="宋体"/>
                <w:b w:val="0"/>
              </w:rPr>
              <w:t>5</w:t>
            </w:r>
          </w:p>
        </w:tc>
        <w:tc>
          <w:tcPr>
            <w:tcW w:w="0" w:type="dxa"/>
          </w:tcPr>
          <w:p w14:paraId="7F9360F8">
            <w:pPr>
              <w:spacing w:line="240" w:lineRule="auto"/>
              <w:jc w:val="left"/>
            </w:pPr>
            <w:r>
              <w:rPr>
                <w:rFonts w:ascii="宋体" w:hAnsi="宋体" w:eastAsia="宋体" w:cs="宋体"/>
                <w:b w:val="0"/>
              </w:rPr>
              <w:t>600685</w:t>
            </w:r>
          </w:p>
        </w:tc>
        <w:tc>
          <w:tcPr>
            <w:tcW w:w="0" w:type="dxa"/>
          </w:tcPr>
          <w:p w14:paraId="5130BD68">
            <w:pPr>
              <w:spacing w:line="240" w:lineRule="auto"/>
              <w:jc w:val="left"/>
            </w:pPr>
            <w:r>
              <w:rPr>
                <w:rFonts w:ascii="宋体" w:hAnsi="宋体" w:eastAsia="宋体" w:cs="宋体"/>
                <w:b w:val="0"/>
              </w:rPr>
              <w:t>中船防务</w:t>
            </w:r>
          </w:p>
        </w:tc>
        <w:tc>
          <w:tcPr>
            <w:tcW w:w="0" w:type="dxa"/>
          </w:tcPr>
          <w:p w14:paraId="2ADB07D8">
            <w:pPr>
              <w:spacing w:line="240" w:lineRule="auto"/>
              <w:jc w:val="right"/>
            </w:pPr>
            <w:r>
              <w:rPr>
                <w:rFonts w:ascii="宋体" w:hAnsi="宋体" w:eastAsia="宋体" w:cs="宋体"/>
                <w:b w:val="0"/>
              </w:rPr>
              <w:t>311,200</w:t>
            </w:r>
          </w:p>
        </w:tc>
        <w:tc>
          <w:tcPr>
            <w:tcW w:w="0" w:type="dxa"/>
          </w:tcPr>
          <w:p w14:paraId="1D47138B">
            <w:pPr>
              <w:spacing w:line="240" w:lineRule="auto"/>
              <w:jc w:val="right"/>
            </w:pPr>
            <w:r>
              <w:rPr>
                <w:rFonts w:ascii="宋体" w:hAnsi="宋体" w:eastAsia="宋体" w:cs="宋体"/>
                <w:b w:val="0"/>
              </w:rPr>
              <w:t>8,461,528.00</w:t>
            </w:r>
          </w:p>
        </w:tc>
        <w:tc>
          <w:tcPr>
            <w:tcW w:w="0" w:type="dxa"/>
          </w:tcPr>
          <w:p w14:paraId="34984568">
            <w:pPr>
              <w:spacing w:line="240" w:lineRule="auto"/>
              <w:jc w:val="right"/>
            </w:pPr>
            <w:r>
              <w:rPr>
                <w:rFonts w:ascii="宋体" w:hAnsi="宋体" w:eastAsia="宋体" w:cs="宋体"/>
                <w:b w:val="0"/>
              </w:rPr>
              <w:t>2.63</w:t>
            </w:r>
          </w:p>
        </w:tc>
      </w:tr>
      <w:tr w14:paraId="4F591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E706A35">
            <w:pPr>
              <w:spacing w:line="240" w:lineRule="auto"/>
              <w:jc w:val="center"/>
            </w:pPr>
            <w:r>
              <w:rPr>
                <w:rFonts w:ascii="宋体" w:hAnsi="宋体" w:eastAsia="宋体" w:cs="宋体"/>
                <w:b w:val="0"/>
              </w:rPr>
              <w:t>6</w:t>
            </w:r>
          </w:p>
        </w:tc>
        <w:tc>
          <w:tcPr>
            <w:tcW w:w="0" w:type="dxa"/>
          </w:tcPr>
          <w:p w14:paraId="451A4B28">
            <w:pPr>
              <w:spacing w:line="240" w:lineRule="auto"/>
              <w:jc w:val="left"/>
            </w:pPr>
            <w:r>
              <w:rPr>
                <w:rFonts w:ascii="宋体" w:hAnsi="宋体" w:eastAsia="宋体" w:cs="宋体"/>
                <w:b w:val="0"/>
              </w:rPr>
              <w:t>601989</w:t>
            </w:r>
          </w:p>
        </w:tc>
        <w:tc>
          <w:tcPr>
            <w:tcW w:w="0" w:type="dxa"/>
          </w:tcPr>
          <w:p w14:paraId="0781AD34">
            <w:pPr>
              <w:spacing w:line="240" w:lineRule="auto"/>
              <w:jc w:val="left"/>
            </w:pPr>
            <w:r>
              <w:rPr>
                <w:rFonts w:ascii="宋体" w:hAnsi="宋体" w:eastAsia="宋体" w:cs="宋体"/>
                <w:b w:val="0"/>
              </w:rPr>
              <w:t>中国重工</w:t>
            </w:r>
          </w:p>
        </w:tc>
        <w:tc>
          <w:tcPr>
            <w:tcW w:w="0" w:type="dxa"/>
          </w:tcPr>
          <w:p w14:paraId="23A686FD">
            <w:pPr>
              <w:spacing w:line="240" w:lineRule="auto"/>
              <w:jc w:val="right"/>
            </w:pPr>
            <w:r>
              <w:rPr>
                <w:rFonts w:ascii="宋体" w:hAnsi="宋体" w:eastAsia="宋体" w:cs="宋体"/>
                <w:b w:val="0"/>
              </w:rPr>
              <w:t>1,750,400</w:t>
            </w:r>
          </w:p>
        </w:tc>
        <w:tc>
          <w:tcPr>
            <w:tcW w:w="0" w:type="dxa"/>
          </w:tcPr>
          <w:p w14:paraId="4FCF8D2C">
            <w:pPr>
              <w:spacing w:line="240" w:lineRule="auto"/>
              <w:jc w:val="right"/>
            </w:pPr>
            <w:r>
              <w:rPr>
                <w:rFonts w:ascii="宋体" w:hAnsi="宋体" w:eastAsia="宋体" w:cs="宋体"/>
                <w:b w:val="0"/>
              </w:rPr>
              <w:t>8,121,856.00</w:t>
            </w:r>
          </w:p>
        </w:tc>
        <w:tc>
          <w:tcPr>
            <w:tcW w:w="0" w:type="dxa"/>
          </w:tcPr>
          <w:p w14:paraId="0312AEE0">
            <w:pPr>
              <w:spacing w:line="240" w:lineRule="auto"/>
              <w:jc w:val="right"/>
            </w:pPr>
            <w:r>
              <w:rPr>
                <w:rFonts w:ascii="宋体" w:hAnsi="宋体" w:eastAsia="宋体" w:cs="宋体"/>
                <w:b w:val="0"/>
              </w:rPr>
              <w:t>2.52</w:t>
            </w:r>
          </w:p>
        </w:tc>
      </w:tr>
      <w:tr w14:paraId="6E478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FF4D760">
            <w:pPr>
              <w:spacing w:line="240" w:lineRule="auto"/>
              <w:jc w:val="center"/>
            </w:pPr>
            <w:r>
              <w:rPr>
                <w:rFonts w:ascii="宋体" w:hAnsi="宋体" w:eastAsia="宋体" w:cs="宋体"/>
                <w:b w:val="0"/>
              </w:rPr>
              <w:t>7</w:t>
            </w:r>
          </w:p>
        </w:tc>
        <w:tc>
          <w:tcPr>
            <w:tcW w:w="0" w:type="dxa"/>
          </w:tcPr>
          <w:p w14:paraId="178D3932">
            <w:pPr>
              <w:spacing w:line="240" w:lineRule="auto"/>
              <w:jc w:val="left"/>
            </w:pPr>
            <w:r>
              <w:rPr>
                <w:rFonts w:ascii="宋体" w:hAnsi="宋体" w:eastAsia="宋体" w:cs="宋体"/>
                <w:b w:val="0"/>
              </w:rPr>
              <w:t>600150</w:t>
            </w:r>
          </w:p>
        </w:tc>
        <w:tc>
          <w:tcPr>
            <w:tcW w:w="0" w:type="dxa"/>
          </w:tcPr>
          <w:p w14:paraId="15125453">
            <w:pPr>
              <w:spacing w:line="240" w:lineRule="auto"/>
              <w:jc w:val="left"/>
            </w:pPr>
            <w:r>
              <w:rPr>
                <w:rFonts w:ascii="宋体" w:hAnsi="宋体" w:eastAsia="宋体" w:cs="宋体"/>
                <w:b w:val="0"/>
              </w:rPr>
              <w:t>中国船舶</w:t>
            </w:r>
          </w:p>
        </w:tc>
        <w:tc>
          <w:tcPr>
            <w:tcW w:w="0" w:type="dxa"/>
          </w:tcPr>
          <w:p w14:paraId="20980FE5">
            <w:pPr>
              <w:spacing w:line="240" w:lineRule="auto"/>
              <w:jc w:val="right"/>
            </w:pPr>
            <w:r>
              <w:rPr>
                <w:rFonts w:ascii="宋体" w:hAnsi="宋体" w:eastAsia="宋体" w:cs="宋体"/>
                <w:b w:val="0"/>
              </w:rPr>
              <w:t>249,200</w:t>
            </w:r>
          </w:p>
        </w:tc>
        <w:tc>
          <w:tcPr>
            <w:tcW w:w="0" w:type="dxa"/>
          </w:tcPr>
          <w:p w14:paraId="1172DD85">
            <w:pPr>
              <w:spacing w:line="240" w:lineRule="auto"/>
              <w:jc w:val="right"/>
            </w:pPr>
            <w:r>
              <w:rPr>
                <w:rFonts w:ascii="宋体" w:hAnsi="宋体" w:eastAsia="宋体" w:cs="宋体"/>
                <w:b w:val="0"/>
              </w:rPr>
              <w:t>8,108,968.00</w:t>
            </w:r>
          </w:p>
        </w:tc>
        <w:tc>
          <w:tcPr>
            <w:tcW w:w="0" w:type="dxa"/>
          </w:tcPr>
          <w:p w14:paraId="58D09C75">
            <w:pPr>
              <w:spacing w:line="240" w:lineRule="auto"/>
              <w:jc w:val="right"/>
            </w:pPr>
            <w:r>
              <w:rPr>
                <w:rFonts w:ascii="宋体" w:hAnsi="宋体" w:eastAsia="宋体" w:cs="宋体"/>
                <w:b w:val="0"/>
              </w:rPr>
              <w:t>2.52</w:t>
            </w:r>
          </w:p>
        </w:tc>
      </w:tr>
      <w:tr w14:paraId="48D52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C63DF99">
            <w:pPr>
              <w:spacing w:line="240" w:lineRule="auto"/>
              <w:jc w:val="center"/>
            </w:pPr>
            <w:r>
              <w:rPr>
                <w:rFonts w:ascii="宋体" w:hAnsi="宋体" w:eastAsia="宋体" w:cs="宋体"/>
                <w:b w:val="0"/>
              </w:rPr>
              <w:t>8</w:t>
            </w:r>
          </w:p>
        </w:tc>
        <w:tc>
          <w:tcPr>
            <w:tcW w:w="0" w:type="dxa"/>
          </w:tcPr>
          <w:p w14:paraId="06025F72">
            <w:pPr>
              <w:spacing w:line="240" w:lineRule="auto"/>
              <w:jc w:val="left"/>
            </w:pPr>
            <w:r>
              <w:rPr>
                <w:rFonts w:ascii="宋体" w:hAnsi="宋体" w:eastAsia="宋体" w:cs="宋体"/>
                <w:b w:val="0"/>
              </w:rPr>
              <w:t>600482</w:t>
            </w:r>
          </w:p>
        </w:tc>
        <w:tc>
          <w:tcPr>
            <w:tcW w:w="0" w:type="dxa"/>
          </w:tcPr>
          <w:p w14:paraId="517A864E">
            <w:pPr>
              <w:spacing w:line="240" w:lineRule="auto"/>
              <w:jc w:val="left"/>
            </w:pPr>
            <w:r>
              <w:rPr>
                <w:rFonts w:ascii="宋体" w:hAnsi="宋体" w:eastAsia="宋体" w:cs="宋体"/>
                <w:b w:val="0"/>
              </w:rPr>
              <w:t>中国动力</w:t>
            </w:r>
          </w:p>
        </w:tc>
        <w:tc>
          <w:tcPr>
            <w:tcW w:w="0" w:type="dxa"/>
          </w:tcPr>
          <w:p w14:paraId="63E4B718">
            <w:pPr>
              <w:spacing w:line="240" w:lineRule="auto"/>
              <w:jc w:val="right"/>
            </w:pPr>
            <w:r>
              <w:rPr>
                <w:rFonts w:ascii="宋体" w:hAnsi="宋体" w:eastAsia="宋体" w:cs="宋体"/>
                <w:b w:val="0"/>
              </w:rPr>
              <w:t>350,000</w:t>
            </w:r>
          </w:p>
        </w:tc>
        <w:tc>
          <w:tcPr>
            <w:tcW w:w="0" w:type="dxa"/>
          </w:tcPr>
          <w:p w14:paraId="1827C75C">
            <w:pPr>
              <w:spacing w:line="240" w:lineRule="auto"/>
              <w:jc w:val="right"/>
            </w:pPr>
            <w:r>
              <w:rPr>
                <w:rFonts w:ascii="宋体" w:hAnsi="宋体" w:eastAsia="宋体" w:cs="宋体"/>
                <w:b w:val="0"/>
              </w:rPr>
              <w:t>8,074,500.00</w:t>
            </w:r>
          </w:p>
        </w:tc>
        <w:tc>
          <w:tcPr>
            <w:tcW w:w="0" w:type="dxa"/>
          </w:tcPr>
          <w:p w14:paraId="13825ECE">
            <w:pPr>
              <w:spacing w:line="240" w:lineRule="auto"/>
              <w:jc w:val="right"/>
            </w:pPr>
            <w:r>
              <w:rPr>
                <w:rFonts w:ascii="宋体" w:hAnsi="宋体" w:eastAsia="宋体" w:cs="宋体"/>
                <w:b w:val="0"/>
              </w:rPr>
              <w:t>2.51</w:t>
            </w:r>
          </w:p>
        </w:tc>
      </w:tr>
      <w:tr w14:paraId="692FC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BD33E4E">
            <w:pPr>
              <w:spacing w:line="240" w:lineRule="auto"/>
              <w:jc w:val="center"/>
            </w:pPr>
            <w:r>
              <w:rPr>
                <w:rFonts w:ascii="宋体" w:hAnsi="宋体" w:eastAsia="宋体" w:cs="宋体"/>
                <w:b w:val="0"/>
              </w:rPr>
              <w:t>9</w:t>
            </w:r>
          </w:p>
        </w:tc>
        <w:tc>
          <w:tcPr>
            <w:tcW w:w="0" w:type="dxa"/>
          </w:tcPr>
          <w:p w14:paraId="4771743A">
            <w:pPr>
              <w:spacing w:line="240" w:lineRule="auto"/>
              <w:jc w:val="left"/>
            </w:pPr>
            <w:r>
              <w:rPr>
                <w:rFonts w:ascii="宋体" w:hAnsi="宋体" w:eastAsia="宋体" w:cs="宋体"/>
                <w:b w:val="0"/>
              </w:rPr>
              <w:t>605123</w:t>
            </w:r>
          </w:p>
        </w:tc>
        <w:tc>
          <w:tcPr>
            <w:tcW w:w="0" w:type="dxa"/>
          </w:tcPr>
          <w:p w14:paraId="74F82B27">
            <w:pPr>
              <w:spacing w:line="240" w:lineRule="auto"/>
              <w:jc w:val="left"/>
            </w:pPr>
            <w:r>
              <w:rPr>
                <w:rFonts w:ascii="宋体" w:hAnsi="宋体" w:eastAsia="宋体" w:cs="宋体"/>
                <w:b w:val="0"/>
              </w:rPr>
              <w:t>派克新材</w:t>
            </w:r>
          </w:p>
        </w:tc>
        <w:tc>
          <w:tcPr>
            <w:tcW w:w="0" w:type="dxa"/>
          </w:tcPr>
          <w:p w14:paraId="05CD260A">
            <w:pPr>
              <w:spacing w:line="240" w:lineRule="auto"/>
              <w:jc w:val="right"/>
            </w:pPr>
            <w:r>
              <w:rPr>
                <w:rFonts w:ascii="宋体" w:hAnsi="宋体" w:eastAsia="宋体" w:cs="宋体"/>
                <w:b w:val="0"/>
              </w:rPr>
              <w:t>101,700</w:t>
            </w:r>
          </w:p>
        </w:tc>
        <w:tc>
          <w:tcPr>
            <w:tcW w:w="0" w:type="dxa"/>
          </w:tcPr>
          <w:p w14:paraId="780B8EAA">
            <w:pPr>
              <w:spacing w:line="240" w:lineRule="auto"/>
              <w:jc w:val="right"/>
            </w:pPr>
            <w:r>
              <w:rPr>
                <w:rFonts w:ascii="宋体" w:hAnsi="宋体" w:eastAsia="宋体" w:cs="宋体"/>
                <w:b w:val="0"/>
              </w:rPr>
              <w:t>7,922,430.00</w:t>
            </w:r>
          </w:p>
        </w:tc>
        <w:tc>
          <w:tcPr>
            <w:tcW w:w="0" w:type="dxa"/>
          </w:tcPr>
          <w:p w14:paraId="6D6820CB">
            <w:pPr>
              <w:spacing w:line="240" w:lineRule="auto"/>
              <w:jc w:val="right"/>
            </w:pPr>
            <w:r>
              <w:rPr>
                <w:rFonts w:ascii="宋体" w:hAnsi="宋体" w:eastAsia="宋体" w:cs="宋体"/>
                <w:b w:val="0"/>
              </w:rPr>
              <w:t>2.46</w:t>
            </w:r>
          </w:p>
        </w:tc>
      </w:tr>
      <w:tr w14:paraId="583E0A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8EDCC15">
            <w:pPr>
              <w:spacing w:line="240" w:lineRule="auto"/>
              <w:jc w:val="center"/>
            </w:pPr>
            <w:r>
              <w:rPr>
                <w:rFonts w:ascii="宋体" w:hAnsi="宋体" w:eastAsia="宋体" w:cs="宋体"/>
                <w:b w:val="0"/>
              </w:rPr>
              <w:t>10</w:t>
            </w:r>
          </w:p>
        </w:tc>
        <w:tc>
          <w:tcPr>
            <w:tcW w:w="0" w:type="dxa"/>
          </w:tcPr>
          <w:p w14:paraId="5B3D7B4C">
            <w:pPr>
              <w:spacing w:line="240" w:lineRule="auto"/>
              <w:jc w:val="left"/>
            </w:pPr>
            <w:r>
              <w:rPr>
                <w:rFonts w:ascii="宋体" w:hAnsi="宋体" w:eastAsia="宋体" w:cs="宋体"/>
                <w:b w:val="0"/>
              </w:rPr>
              <w:t>601890</w:t>
            </w:r>
          </w:p>
        </w:tc>
        <w:tc>
          <w:tcPr>
            <w:tcW w:w="0" w:type="dxa"/>
          </w:tcPr>
          <w:p w14:paraId="61C6BF0F">
            <w:pPr>
              <w:spacing w:line="240" w:lineRule="auto"/>
              <w:jc w:val="left"/>
            </w:pPr>
            <w:r>
              <w:rPr>
                <w:rFonts w:ascii="宋体" w:hAnsi="宋体" w:eastAsia="宋体" w:cs="宋体"/>
                <w:b w:val="0"/>
              </w:rPr>
              <w:t>亚星锚链</w:t>
            </w:r>
          </w:p>
        </w:tc>
        <w:tc>
          <w:tcPr>
            <w:tcW w:w="0" w:type="dxa"/>
          </w:tcPr>
          <w:p w14:paraId="76D50620">
            <w:pPr>
              <w:spacing w:line="240" w:lineRule="auto"/>
              <w:jc w:val="right"/>
            </w:pPr>
            <w:r>
              <w:rPr>
                <w:rFonts w:ascii="宋体" w:hAnsi="宋体" w:eastAsia="宋体" w:cs="宋体"/>
                <w:b w:val="0"/>
              </w:rPr>
              <w:t>775,700</w:t>
            </w:r>
          </w:p>
        </w:tc>
        <w:tc>
          <w:tcPr>
            <w:tcW w:w="0" w:type="dxa"/>
          </w:tcPr>
          <w:p w14:paraId="7DBCE348">
            <w:pPr>
              <w:spacing w:line="240" w:lineRule="auto"/>
              <w:jc w:val="right"/>
            </w:pPr>
            <w:r>
              <w:rPr>
                <w:rFonts w:ascii="宋体" w:hAnsi="宋体" w:eastAsia="宋体" w:cs="宋体"/>
                <w:b w:val="0"/>
              </w:rPr>
              <w:t>7,904,383.00</w:t>
            </w:r>
          </w:p>
        </w:tc>
        <w:tc>
          <w:tcPr>
            <w:tcW w:w="0" w:type="dxa"/>
          </w:tcPr>
          <w:p w14:paraId="3E2A2531">
            <w:pPr>
              <w:spacing w:line="240" w:lineRule="auto"/>
              <w:jc w:val="right"/>
            </w:pPr>
            <w:r>
              <w:rPr>
                <w:rFonts w:ascii="宋体" w:hAnsi="宋体" w:eastAsia="宋体" w:cs="宋体"/>
                <w:b w:val="0"/>
              </w:rPr>
              <w:t>2.46</w:t>
            </w:r>
          </w:p>
        </w:tc>
      </w:tr>
    </w:tbl>
    <w:p w14:paraId="52C02759"/>
    <w:p w14:paraId="5AE5434A">
      <w:pPr>
        <w:pStyle w:val="3"/>
        <w:jc w:val="left"/>
      </w:pPr>
      <w:r>
        <w:rPr>
          <w:rFonts w:ascii="宋体" w:hAnsi="宋体" w:eastAsia="宋体" w:cs="宋体"/>
        </w:rPr>
        <w:t>5.4 报告期末按债券品种分类的债券投资组合</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8"/>
        <w:gridCol w:w="3571"/>
        <w:gridCol w:w="1786"/>
        <w:gridCol w:w="2501"/>
      </w:tblGrid>
      <w:tr w14:paraId="433B4D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pct"/>
            <w:shd w:val="clear" w:color="auto" w:fill="D9D9D9"/>
            <w:vAlign w:val="center"/>
          </w:tcPr>
          <w:p w14:paraId="3DDAE28C">
            <w:pPr>
              <w:spacing w:line="240" w:lineRule="auto"/>
              <w:jc w:val="center"/>
            </w:pPr>
            <w:r>
              <w:rPr>
                <w:rFonts w:ascii="宋体" w:hAnsi="宋体" w:eastAsia="宋体" w:cs="宋体"/>
                <w:b w:val="0"/>
              </w:rPr>
              <w:t>序号</w:t>
            </w:r>
          </w:p>
        </w:tc>
        <w:tc>
          <w:tcPr>
            <w:tcW w:w="1538" w:type="pct"/>
            <w:shd w:val="clear" w:color="auto" w:fill="D9D9D9"/>
            <w:vAlign w:val="center"/>
          </w:tcPr>
          <w:p w14:paraId="7B876DAF">
            <w:pPr>
              <w:spacing w:line="240" w:lineRule="auto"/>
              <w:jc w:val="center"/>
            </w:pPr>
            <w:r>
              <w:rPr>
                <w:rFonts w:ascii="宋体" w:hAnsi="宋体" w:eastAsia="宋体" w:cs="宋体"/>
                <w:b w:val="0"/>
              </w:rPr>
              <w:t>债券品种</w:t>
            </w:r>
          </w:p>
        </w:tc>
        <w:tc>
          <w:tcPr>
            <w:tcW w:w="769" w:type="pct"/>
            <w:shd w:val="clear" w:color="auto" w:fill="D9D9D9"/>
            <w:vAlign w:val="center"/>
          </w:tcPr>
          <w:p w14:paraId="0B28CA4E">
            <w:pPr>
              <w:spacing w:line="240" w:lineRule="auto"/>
              <w:jc w:val="center"/>
            </w:pPr>
            <w:r>
              <w:rPr>
                <w:rFonts w:ascii="宋体" w:hAnsi="宋体" w:eastAsia="宋体" w:cs="宋体"/>
                <w:b w:val="0"/>
              </w:rPr>
              <w:t>公允价值(元)</w:t>
            </w:r>
          </w:p>
        </w:tc>
        <w:tc>
          <w:tcPr>
            <w:tcW w:w="1077" w:type="pct"/>
            <w:shd w:val="clear" w:color="auto" w:fill="D9D9D9"/>
            <w:vAlign w:val="center"/>
          </w:tcPr>
          <w:p w14:paraId="1C909CEC">
            <w:pPr>
              <w:spacing w:line="240" w:lineRule="auto"/>
              <w:jc w:val="center"/>
            </w:pPr>
            <w:r>
              <w:rPr>
                <w:rFonts w:ascii="宋体" w:hAnsi="宋体" w:eastAsia="宋体" w:cs="宋体"/>
                <w:b w:val="0"/>
              </w:rPr>
              <w:t>占基金资产净值比例(％)</w:t>
            </w:r>
          </w:p>
        </w:tc>
      </w:tr>
      <w:tr w14:paraId="08500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19895E4">
            <w:pPr>
              <w:spacing w:line="240" w:lineRule="auto"/>
              <w:jc w:val="center"/>
            </w:pPr>
            <w:r>
              <w:rPr>
                <w:rFonts w:ascii="宋体" w:hAnsi="宋体" w:eastAsia="宋体" w:cs="宋体"/>
                <w:b w:val="0"/>
              </w:rPr>
              <w:t>1</w:t>
            </w:r>
          </w:p>
        </w:tc>
        <w:tc>
          <w:tcPr>
            <w:tcW w:w="0" w:type="dxa"/>
          </w:tcPr>
          <w:p w14:paraId="7F23FB41">
            <w:pPr>
              <w:spacing w:line="240" w:lineRule="auto"/>
              <w:jc w:val="left"/>
            </w:pPr>
            <w:r>
              <w:rPr>
                <w:rFonts w:ascii="宋体" w:hAnsi="宋体" w:eastAsia="宋体" w:cs="宋体"/>
                <w:b w:val="0"/>
              </w:rPr>
              <w:t>国家债券</w:t>
            </w:r>
          </w:p>
        </w:tc>
        <w:tc>
          <w:tcPr>
            <w:tcW w:w="0" w:type="dxa"/>
          </w:tcPr>
          <w:p w14:paraId="4261B00D">
            <w:pPr>
              <w:spacing w:line="240" w:lineRule="auto"/>
              <w:jc w:val="right"/>
            </w:pPr>
            <w:r>
              <w:rPr>
                <w:rFonts w:ascii="宋体" w:hAnsi="宋体" w:eastAsia="宋体" w:cs="宋体"/>
                <w:b w:val="0"/>
              </w:rPr>
              <w:t>16,133,525.75</w:t>
            </w:r>
          </w:p>
        </w:tc>
        <w:tc>
          <w:tcPr>
            <w:tcW w:w="0" w:type="dxa"/>
          </w:tcPr>
          <w:p w14:paraId="1D727AD1">
            <w:pPr>
              <w:spacing w:line="240" w:lineRule="auto"/>
              <w:jc w:val="right"/>
            </w:pPr>
            <w:r>
              <w:rPr>
                <w:rFonts w:ascii="宋体" w:hAnsi="宋体" w:eastAsia="宋体" w:cs="宋体"/>
                <w:b w:val="0"/>
              </w:rPr>
              <w:t>5.01</w:t>
            </w:r>
          </w:p>
        </w:tc>
      </w:tr>
      <w:tr w14:paraId="442E1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F53AD25">
            <w:pPr>
              <w:spacing w:line="240" w:lineRule="auto"/>
              <w:jc w:val="center"/>
            </w:pPr>
            <w:r>
              <w:rPr>
                <w:rFonts w:ascii="宋体" w:hAnsi="宋体" w:eastAsia="宋体" w:cs="宋体"/>
                <w:b w:val="0"/>
              </w:rPr>
              <w:t>2</w:t>
            </w:r>
          </w:p>
        </w:tc>
        <w:tc>
          <w:tcPr>
            <w:tcW w:w="0" w:type="dxa"/>
          </w:tcPr>
          <w:p w14:paraId="0677F27E">
            <w:pPr>
              <w:spacing w:line="240" w:lineRule="auto"/>
              <w:jc w:val="left"/>
            </w:pPr>
            <w:r>
              <w:rPr>
                <w:rFonts w:ascii="宋体" w:hAnsi="宋体" w:eastAsia="宋体" w:cs="宋体"/>
                <w:b w:val="0"/>
              </w:rPr>
              <w:t>央行票据</w:t>
            </w:r>
          </w:p>
        </w:tc>
        <w:tc>
          <w:tcPr>
            <w:tcW w:w="0" w:type="dxa"/>
          </w:tcPr>
          <w:p w14:paraId="1A3A8283">
            <w:pPr>
              <w:spacing w:line="240" w:lineRule="auto"/>
              <w:jc w:val="right"/>
            </w:pPr>
            <w:r>
              <w:rPr>
                <w:rFonts w:ascii="宋体" w:hAnsi="宋体" w:eastAsia="宋体" w:cs="宋体"/>
                <w:b w:val="0"/>
              </w:rPr>
              <w:t>-</w:t>
            </w:r>
          </w:p>
        </w:tc>
        <w:tc>
          <w:tcPr>
            <w:tcW w:w="0" w:type="dxa"/>
          </w:tcPr>
          <w:p w14:paraId="29161E6E">
            <w:pPr>
              <w:spacing w:line="240" w:lineRule="auto"/>
              <w:jc w:val="right"/>
            </w:pPr>
            <w:r>
              <w:rPr>
                <w:rFonts w:ascii="宋体" w:hAnsi="宋体" w:eastAsia="宋体" w:cs="宋体"/>
                <w:b w:val="0"/>
              </w:rPr>
              <w:t>-</w:t>
            </w:r>
          </w:p>
        </w:tc>
      </w:tr>
      <w:tr w14:paraId="4518B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7F6C8DC">
            <w:pPr>
              <w:spacing w:line="240" w:lineRule="auto"/>
              <w:jc w:val="center"/>
            </w:pPr>
            <w:r>
              <w:rPr>
                <w:rFonts w:ascii="宋体" w:hAnsi="宋体" w:eastAsia="宋体" w:cs="宋体"/>
                <w:b w:val="0"/>
              </w:rPr>
              <w:t>3</w:t>
            </w:r>
          </w:p>
        </w:tc>
        <w:tc>
          <w:tcPr>
            <w:tcW w:w="0" w:type="dxa"/>
          </w:tcPr>
          <w:p w14:paraId="006F9833">
            <w:pPr>
              <w:spacing w:line="240" w:lineRule="auto"/>
              <w:jc w:val="left"/>
            </w:pPr>
            <w:r>
              <w:rPr>
                <w:rFonts w:ascii="宋体" w:hAnsi="宋体" w:eastAsia="宋体" w:cs="宋体"/>
                <w:b w:val="0"/>
              </w:rPr>
              <w:t>金融债券</w:t>
            </w:r>
          </w:p>
        </w:tc>
        <w:tc>
          <w:tcPr>
            <w:tcW w:w="0" w:type="dxa"/>
          </w:tcPr>
          <w:p w14:paraId="2F3A6D12">
            <w:pPr>
              <w:spacing w:line="240" w:lineRule="auto"/>
              <w:jc w:val="right"/>
            </w:pPr>
            <w:r>
              <w:rPr>
                <w:rFonts w:ascii="宋体" w:hAnsi="宋体" w:eastAsia="宋体" w:cs="宋体"/>
                <w:b w:val="0"/>
              </w:rPr>
              <w:t>-</w:t>
            </w:r>
          </w:p>
        </w:tc>
        <w:tc>
          <w:tcPr>
            <w:tcW w:w="0" w:type="dxa"/>
          </w:tcPr>
          <w:p w14:paraId="05742FBC">
            <w:pPr>
              <w:spacing w:line="240" w:lineRule="auto"/>
              <w:jc w:val="right"/>
            </w:pPr>
            <w:r>
              <w:rPr>
                <w:rFonts w:ascii="宋体" w:hAnsi="宋体" w:eastAsia="宋体" w:cs="宋体"/>
                <w:b w:val="0"/>
              </w:rPr>
              <w:t>-</w:t>
            </w:r>
          </w:p>
        </w:tc>
      </w:tr>
      <w:tr w14:paraId="726D3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40EC94A">
            <w:pPr>
              <w:spacing w:line="240" w:lineRule="auto"/>
              <w:jc w:val="center"/>
            </w:pPr>
          </w:p>
        </w:tc>
        <w:tc>
          <w:tcPr>
            <w:tcW w:w="0" w:type="dxa"/>
          </w:tcPr>
          <w:p w14:paraId="2B1A5354">
            <w:pPr>
              <w:spacing w:line="240" w:lineRule="auto"/>
              <w:jc w:val="left"/>
            </w:pPr>
            <w:r>
              <w:rPr>
                <w:rFonts w:ascii="宋体" w:hAnsi="宋体" w:eastAsia="宋体" w:cs="宋体"/>
                <w:b w:val="0"/>
              </w:rPr>
              <w:t>其中：政策性金融债</w:t>
            </w:r>
          </w:p>
        </w:tc>
        <w:tc>
          <w:tcPr>
            <w:tcW w:w="0" w:type="dxa"/>
          </w:tcPr>
          <w:p w14:paraId="348CDCB9">
            <w:pPr>
              <w:spacing w:line="240" w:lineRule="auto"/>
              <w:jc w:val="right"/>
            </w:pPr>
            <w:r>
              <w:rPr>
                <w:rFonts w:ascii="宋体" w:hAnsi="宋体" w:eastAsia="宋体" w:cs="宋体"/>
                <w:b w:val="0"/>
              </w:rPr>
              <w:t>-</w:t>
            </w:r>
          </w:p>
        </w:tc>
        <w:tc>
          <w:tcPr>
            <w:tcW w:w="0" w:type="dxa"/>
          </w:tcPr>
          <w:p w14:paraId="29E29778">
            <w:pPr>
              <w:spacing w:line="240" w:lineRule="auto"/>
              <w:jc w:val="right"/>
            </w:pPr>
            <w:r>
              <w:rPr>
                <w:rFonts w:ascii="宋体" w:hAnsi="宋体" w:eastAsia="宋体" w:cs="宋体"/>
                <w:b w:val="0"/>
              </w:rPr>
              <w:t>-</w:t>
            </w:r>
          </w:p>
        </w:tc>
      </w:tr>
      <w:tr w14:paraId="5D71A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0B0F33C">
            <w:pPr>
              <w:spacing w:line="240" w:lineRule="auto"/>
              <w:jc w:val="center"/>
            </w:pPr>
            <w:r>
              <w:rPr>
                <w:rFonts w:ascii="宋体" w:hAnsi="宋体" w:eastAsia="宋体" w:cs="宋体"/>
                <w:b w:val="0"/>
              </w:rPr>
              <w:t>4</w:t>
            </w:r>
          </w:p>
        </w:tc>
        <w:tc>
          <w:tcPr>
            <w:tcW w:w="0" w:type="dxa"/>
          </w:tcPr>
          <w:p w14:paraId="6E71F66E">
            <w:pPr>
              <w:spacing w:line="240" w:lineRule="auto"/>
              <w:jc w:val="left"/>
            </w:pPr>
            <w:r>
              <w:rPr>
                <w:rFonts w:ascii="宋体" w:hAnsi="宋体" w:eastAsia="宋体" w:cs="宋体"/>
                <w:b w:val="0"/>
              </w:rPr>
              <w:t>企业债券</w:t>
            </w:r>
          </w:p>
        </w:tc>
        <w:tc>
          <w:tcPr>
            <w:tcW w:w="0" w:type="dxa"/>
          </w:tcPr>
          <w:p w14:paraId="175E8294">
            <w:pPr>
              <w:spacing w:line="240" w:lineRule="auto"/>
              <w:jc w:val="right"/>
            </w:pPr>
            <w:r>
              <w:rPr>
                <w:rFonts w:ascii="宋体" w:hAnsi="宋体" w:eastAsia="宋体" w:cs="宋体"/>
                <w:b w:val="0"/>
              </w:rPr>
              <w:t>-</w:t>
            </w:r>
          </w:p>
        </w:tc>
        <w:tc>
          <w:tcPr>
            <w:tcW w:w="0" w:type="dxa"/>
          </w:tcPr>
          <w:p w14:paraId="17C984B3">
            <w:pPr>
              <w:spacing w:line="240" w:lineRule="auto"/>
              <w:jc w:val="right"/>
            </w:pPr>
            <w:r>
              <w:rPr>
                <w:rFonts w:ascii="宋体" w:hAnsi="宋体" w:eastAsia="宋体" w:cs="宋体"/>
                <w:b w:val="0"/>
              </w:rPr>
              <w:t>-</w:t>
            </w:r>
          </w:p>
        </w:tc>
      </w:tr>
      <w:tr w14:paraId="5A71E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1144758">
            <w:pPr>
              <w:spacing w:line="240" w:lineRule="auto"/>
              <w:jc w:val="center"/>
            </w:pPr>
            <w:r>
              <w:rPr>
                <w:rFonts w:ascii="宋体" w:hAnsi="宋体" w:eastAsia="宋体" w:cs="宋体"/>
                <w:b w:val="0"/>
              </w:rPr>
              <w:t>5</w:t>
            </w:r>
          </w:p>
        </w:tc>
        <w:tc>
          <w:tcPr>
            <w:tcW w:w="0" w:type="dxa"/>
          </w:tcPr>
          <w:p w14:paraId="26881B30">
            <w:pPr>
              <w:spacing w:line="240" w:lineRule="auto"/>
              <w:jc w:val="left"/>
            </w:pPr>
            <w:r>
              <w:rPr>
                <w:rFonts w:ascii="宋体" w:hAnsi="宋体" w:eastAsia="宋体" w:cs="宋体"/>
                <w:b w:val="0"/>
              </w:rPr>
              <w:t>企业短期融资券</w:t>
            </w:r>
          </w:p>
        </w:tc>
        <w:tc>
          <w:tcPr>
            <w:tcW w:w="0" w:type="dxa"/>
          </w:tcPr>
          <w:p w14:paraId="465472EC">
            <w:pPr>
              <w:spacing w:line="240" w:lineRule="auto"/>
              <w:jc w:val="right"/>
            </w:pPr>
            <w:r>
              <w:rPr>
                <w:rFonts w:ascii="宋体" w:hAnsi="宋体" w:eastAsia="宋体" w:cs="宋体"/>
                <w:b w:val="0"/>
              </w:rPr>
              <w:t>-</w:t>
            </w:r>
          </w:p>
        </w:tc>
        <w:tc>
          <w:tcPr>
            <w:tcW w:w="0" w:type="dxa"/>
          </w:tcPr>
          <w:p w14:paraId="01D38E03">
            <w:pPr>
              <w:spacing w:line="240" w:lineRule="auto"/>
              <w:jc w:val="right"/>
            </w:pPr>
            <w:r>
              <w:rPr>
                <w:rFonts w:ascii="宋体" w:hAnsi="宋体" w:eastAsia="宋体" w:cs="宋体"/>
                <w:b w:val="0"/>
              </w:rPr>
              <w:t>-</w:t>
            </w:r>
          </w:p>
        </w:tc>
      </w:tr>
      <w:tr w14:paraId="403B9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DE4DA0C">
            <w:pPr>
              <w:spacing w:line="240" w:lineRule="auto"/>
              <w:jc w:val="center"/>
            </w:pPr>
            <w:r>
              <w:rPr>
                <w:rFonts w:ascii="宋体" w:hAnsi="宋体" w:eastAsia="宋体" w:cs="宋体"/>
                <w:b w:val="0"/>
              </w:rPr>
              <w:t>6</w:t>
            </w:r>
          </w:p>
        </w:tc>
        <w:tc>
          <w:tcPr>
            <w:tcW w:w="0" w:type="dxa"/>
          </w:tcPr>
          <w:p w14:paraId="3E7015B2">
            <w:pPr>
              <w:spacing w:line="240" w:lineRule="auto"/>
              <w:jc w:val="left"/>
            </w:pPr>
            <w:r>
              <w:rPr>
                <w:rFonts w:ascii="宋体" w:hAnsi="宋体" w:eastAsia="宋体" w:cs="宋体"/>
                <w:b w:val="0"/>
              </w:rPr>
              <w:t>中期票据</w:t>
            </w:r>
          </w:p>
        </w:tc>
        <w:tc>
          <w:tcPr>
            <w:tcW w:w="0" w:type="dxa"/>
          </w:tcPr>
          <w:p w14:paraId="4732BF61">
            <w:pPr>
              <w:spacing w:line="240" w:lineRule="auto"/>
              <w:jc w:val="right"/>
            </w:pPr>
            <w:r>
              <w:rPr>
                <w:rFonts w:ascii="宋体" w:hAnsi="宋体" w:eastAsia="宋体" w:cs="宋体"/>
                <w:b w:val="0"/>
              </w:rPr>
              <w:t>-</w:t>
            </w:r>
          </w:p>
        </w:tc>
        <w:tc>
          <w:tcPr>
            <w:tcW w:w="0" w:type="dxa"/>
          </w:tcPr>
          <w:p w14:paraId="733DE68C">
            <w:pPr>
              <w:spacing w:line="240" w:lineRule="auto"/>
              <w:jc w:val="right"/>
            </w:pPr>
            <w:r>
              <w:rPr>
                <w:rFonts w:ascii="宋体" w:hAnsi="宋体" w:eastAsia="宋体" w:cs="宋体"/>
                <w:b w:val="0"/>
              </w:rPr>
              <w:t>-</w:t>
            </w:r>
          </w:p>
        </w:tc>
      </w:tr>
      <w:tr w14:paraId="37E15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19D3F7E">
            <w:pPr>
              <w:spacing w:line="240" w:lineRule="auto"/>
              <w:jc w:val="center"/>
            </w:pPr>
            <w:r>
              <w:rPr>
                <w:rFonts w:ascii="宋体" w:hAnsi="宋体" w:eastAsia="宋体" w:cs="宋体"/>
                <w:b w:val="0"/>
              </w:rPr>
              <w:t>7</w:t>
            </w:r>
          </w:p>
        </w:tc>
        <w:tc>
          <w:tcPr>
            <w:tcW w:w="0" w:type="dxa"/>
          </w:tcPr>
          <w:p w14:paraId="719E0FCB">
            <w:pPr>
              <w:spacing w:line="240" w:lineRule="auto"/>
              <w:jc w:val="left"/>
            </w:pPr>
            <w:r>
              <w:rPr>
                <w:rFonts w:ascii="宋体" w:hAnsi="宋体" w:eastAsia="宋体" w:cs="宋体"/>
                <w:b w:val="0"/>
              </w:rPr>
              <w:t>可转债（可交换债）</w:t>
            </w:r>
          </w:p>
        </w:tc>
        <w:tc>
          <w:tcPr>
            <w:tcW w:w="0" w:type="dxa"/>
          </w:tcPr>
          <w:p w14:paraId="65CFFEB7">
            <w:pPr>
              <w:spacing w:line="240" w:lineRule="auto"/>
              <w:jc w:val="right"/>
            </w:pPr>
            <w:r>
              <w:rPr>
                <w:rFonts w:ascii="宋体" w:hAnsi="宋体" w:eastAsia="宋体" w:cs="宋体"/>
                <w:b w:val="0"/>
              </w:rPr>
              <w:t>-</w:t>
            </w:r>
          </w:p>
        </w:tc>
        <w:tc>
          <w:tcPr>
            <w:tcW w:w="0" w:type="dxa"/>
          </w:tcPr>
          <w:p w14:paraId="31B4CA36">
            <w:pPr>
              <w:spacing w:line="240" w:lineRule="auto"/>
              <w:jc w:val="right"/>
            </w:pPr>
            <w:r>
              <w:rPr>
                <w:rFonts w:ascii="宋体" w:hAnsi="宋体" w:eastAsia="宋体" w:cs="宋体"/>
                <w:b w:val="0"/>
              </w:rPr>
              <w:t>-</w:t>
            </w:r>
          </w:p>
        </w:tc>
      </w:tr>
      <w:tr w14:paraId="68663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3B67A18">
            <w:pPr>
              <w:spacing w:line="240" w:lineRule="auto"/>
              <w:jc w:val="center"/>
            </w:pPr>
            <w:r>
              <w:rPr>
                <w:rFonts w:ascii="宋体" w:hAnsi="宋体" w:eastAsia="宋体" w:cs="宋体"/>
                <w:b w:val="0"/>
              </w:rPr>
              <w:t>8</w:t>
            </w:r>
          </w:p>
        </w:tc>
        <w:tc>
          <w:tcPr>
            <w:tcW w:w="0" w:type="dxa"/>
          </w:tcPr>
          <w:p w14:paraId="4D88E1E2">
            <w:pPr>
              <w:spacing w:line="240" w:lineRule="auto"/>
              <w:jc w:val="left"/>
            </w:pPr>
            <w:r>
              <w:rPr>
                <w:rFonts w:ascii="宋体" w:hAnsi="宋体" w:eastAsia="宋体" w:cs="宋体"/>
                <w:b w:val="0"/>
              </w:rPr>
              <w:t>同业存单</w:t>
            </w:r>
          </w:p>
        </w:tc>
        <w:tc>
          <w:tcPr>
            <w:tcW w:w="0" w:type="dxa"/>
          </w:tcPr>
          <w:p w14:paraId="648D8498">
            <w:pPr>
              <w:spacing w:line="240" w:lineRule="auto"/>
              <w:jc w:val="right"/>
            </w:pPr>
            <w:r>
              <w:rPr>
                <w:rFonts w:ascii="宋体" w:hAnsi="宋体" w:eastAsia="宋体" w:cs="宋体"/>
                <w:b w:val="0"/>
              </w:rPr>
              <w:t>-</w:t>
            </w:r>
          </w:p>
        </w:tc>
        <w:tc>
          <w:tcPr>
            <w:tcW w:w="0" w:type="dxa"/>
          </w:tcPr>
          <w:p w14:paraId="03D125C6">
            <w:pPr>
              <w:spacing w:line="240" w:lineRule="auto"/>
              <w:jc w:val="right"/>
            </w:pPr>
            <w:r>
              <w:rPr>
                <w:rFonts w:ascii="宋体" w:hAnsi="宋体" w:eastAsia="宋体" w:cs="宋体"/>
                <w:b w:val="0"/>
              </w:rPr>
              <w:t>-</w:t>
            </w:r>
          </w:p>
        </w:tc>
      </w:tr>
      <w:tr w14:paraId="732DE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38C922B">
            <w:pPr>
              <w:spacing w:line="240" w:lineRule="auto"/>
              <w:jc w:val="center"/>
            </w:pPr>
            <w:r>
              <w:rPr>
                <w:rFonts w:ascii="宋体" w:hAnsi="宋体" w:eastAsia="宋体" w:cs="宋体"/>
                <w:b w:val="0"/>
              </w:rPr>
              <w:t>9</w:t>
            </w:r>
          </w:p>
        </w:tc>
        <w:tc>
          <w:tcPr>
            <w:tcW w:w="0" w:type="dxa"/>
          </w:tcPr>
          <w:p w14:paraId="10A3B76E">
            <w:pPr>
              <w:spacing w:line="240" w:lineRule="auto"/>
              <w:jc w:val="left"/>
            </w:pPr>
            <w:r>
              <w:rPr>
                <w:rFonts w:ascii="宋体" w:hAnsi="宋体" w:eastAsia="宋体" w:cs="宋体"/>
                <w:b w:val="0"/>
              </w:rPr>
              <w:t>其他</w:t>
            </w:r>
          </w:p>
        </w:tc>
        <w:tc>
          <w:tcPr>
            <w:tcW w:w="0" w:type="dxa"/>
          </w:tcPr>
          <w:p w14:paraId="7904B28E">
            <w:pPr>
              <w:spacing w:line="240" w:lineRule="auto"/>
              <w:jc w:val="right"/>
            </w:pPr>
            <w:r>
              <w:rPr>
                <w:rFonts w:ascii="宋体" w:hAnsi="宋体" w:eastAsia="宋体" w:cs="宋体"/>
                <w:b w:val="0"/>
              </w:rPr>
              <w:t>-</w:t>
            </w:r>
          </w:p>
        </w:tc>
        <w:tc>
          <w:tcPr>
            <w:tcW w:w="0" w:type="dxa"/>
          </w:tcPr>
          <w:p w14:paraId="1375E2DE">
            <w:pPr>
              <w:spacing w:line="240" w:lineRule="auto"/>
              <w:jc w:val="right"/>
            </w:pPr>
            <w:r>
              <w:rPr>
                <w:rFonts w:ascii="宋体" w:hAnsi="宋体" w:eastAsia="宋体" w:cs="宋体"/>
                <w:b w:val="0"/>
              </w:rPr>
              <w:t>-</w:t>
            </w:r>
          </w:p>
        </w:tc>
      </w:tr>
      <w:tr w14:paraId="50748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C6CE840">
            <w:pPr>
              <w:spacing w:line="240" w:lineRule="auto"/>
              <w:jc w:val="center"/>
            </w:pPr>
            <w:r>
              <w:rPr>
                <w:rFonts w:ascii="宋体" w:hAnsi="宋体" w:eastAsia="宋体" w:cs="宋体"/>
                <w:b w:val="0"/>
              </w:rPr>
              <w:t>10</w:t>
            </w:r>
          </w:p>
        </w:tc>
        <w:tc>
          <w:tcPr>
            <w:tcW w:w="0" w:type="dxa"/>
          </w:tcPr>
          <w:p w14:paraId="62D1C7BF">
            <w:pPr>
              <w:spacing w:line="240" w:lineRule="auto"/>
              <w:jc w:val="left"/>
            </w:pPr>
            <w:r>
              <w:rPr>
                <w:rFonts w:ascii="宋体" w:hAnsi="宋体" w:eastAsia="宋体" w:cs="宋体"/>
                <w:b w:val="0"/>
              </w:rPr>
              <w:t>合计</w:t>
            </w:r>
          </w:p>
        </w:tc>
        <w:tc>
          <w:tcPr>
            <w:tcW w:w="0" w:type="dxa"/>
          </w:tcPr>
          <w:p w14:paraId="7ED92878">
            <w:pPr>
              <w:spacing w:line="240" w:lineRule="auto"/>
              <w:jc w:val="right"/>
            </w:pPr>
            <w:r>
              <w:rPr>
                <w:rFonts w:ascii="宋体" w:hAnsi="宋体" w:eastAsia="宋体" w:cs="宋体"/>
                <w:b w:val="0"/>
              </w:rPr>
              <w:t>16,133,525.75</w:t>
            </w:r>
          </w:p>
        </w:tc>
        <w:tc>
          <w:tcPr>
            <w:tcW w:w="0" w:type="dxa"/>
          </w:tcPr>
          <w:p w14:paraId="65EAF7A7">
            <w:pPr>
              <w:spacing w:line="240" w:lineRule="auto"/>
              <w:jc w:val="right"/>
            </w:pPr>
            <w:r>
              <w:rPr>
                <w:rFonts w:ascii="宋体" w:hAnsi="宋体" w:eastAsia="宋体" w:cs="宋体"/>
                <w:b w:val="0"/>
              </w:rPr>
              <w:t>5.01</w:t>
            </w:r>
          </w:p>
        </w:tc>
      </w:tr>
    </w:tbl>
    <w:p w14:paraId="32F224A9"/>
    <w:p w14:paraId="78F5729F">
      <w:pPr>
        <w:pStyle w:val="3"/>
        <w:jc w:val="left"/>
      </w:pPr>
      <w:r>
        <w:rPr>
          <w:rFonts w:ascii="宋体" w:hAnsi="宋体" w:eastAsia="宋体" w:cs="宋体"/>
        </w:rPr>
        <w:t>5.5 报告期末按公允价值占基金资产净值比例大小排序的前五名债券投资明细</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7"/>
        <w:gridCol w:w="1547"/>
        <w:gridCol w:w="1548"/>
        <w:gridCol w:w="1238"/>
        <w:gridCol w:w="1858"/>
        <w:gridCol w:w="1858"/>
      </w:tblGrid>
      <w:tr w14:paraId="508CE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pct"/>
            <w:shd w:val="clear" w:color="auto" w:fill="D9D9D9"/>
            <w:vAlign w:val="center"/>
          </w:tcPr>
          <w:p w14:paraId="52430BCC">
            <w:pPr>
              <w:spacing w:line="240" w:lineRule="auto"/>
              <w:jc w:val="center"/>
            </w:pPr>
            <w:r>
              <w:rPr>
                <w:rFonts w:ascii="宋体" w:hAnsi="宋体" w:eastAsia="宋体" w:cs="宋体"/>
                <w:b w:val="0"/>
              </w:rPr>
              <w:t>序号</w:t>
            </w:r>
          </w:p>
        </w:tc>
        <w:tc>
          <w:tcPr>
            <w:tcW w:w="769" w:type="pct"/>
            <w:shd w:val="clear" w:color="auto" w:fill="D9D9D9"/>
            <w:vAlign w:val="center"/>
          </w:tcPr>
          <w:p w14:paraId="2EE29F4B">
            <w:pPr>
              <w:spacing w:line="240" w:lineRule="auto"/>
              <w:jc w:val="center"/>
            </w:pPr>
            <w:r>
              <w:rPr>
                <w:rFonts w:ascii="宋体" w:hAnsi="宋体" w:eastAsia="宋体" w:cs="宋体"/>
                <w:b w:val="0"/>
              </w:rPr>
              <w:t>债券代码</w:t>
            </w:r>
          </w:p>
        </w:tc>
        <w:tc>
          <w:tcPr>
            <w:tcW w:w="769" w:type="pct"/>
            <w:shd w:val="clear" w:color="auto" w:fill="D9D9D9"/>
            <w:vAlign w:val="center"/>
          </w:tcPr>
          <w:p w14:paraId="01C51893">
            <w:pPr>
              <w:spacing w:line="240" w:lineRule="auto"/>
              <w:jc w:val="center"/>
            </w:pPr>
            <w:r>
              <w:rPr>
                <w:rFonts w:ascii="宋体" w:hAnsi="宋体" w:eastAsia="宋体" w:cs="宋体"/>
                <w:b w:val="0"/>
              </w:rPr>
              <w:t>债券名称</w:t>
            </w:r>
          </w:p>
        </w:tc>
        <w:tc>
          <w:tcPr>
            <w:tcW w:w="615" w:type="pct"/>
            <w:shd w:val="clear" w:color="auto" w:fill="D9D9D9"/>
            <w:vAlign w:val="center"/>
          </w:tcPr>
          <w:p w14:paraId="0AB4C0C6">
            <w:pPr>
              <w:spacing w:line="240" w:lineRule="auto"/>
              <w:jc w:val="center"/>
            </w:pPr>
            <w:r>
              <w:rPr>
                <w:rFonts w:ascii="宋体" w:hAnsi="宋体" w:eastAsia="宋体" w:cs="宋体"/>
                <w:b w:val="0"/>
              </w:rPr>
              <w:t>数量(张)</w:t>
            </w:r>
          </w:p>
        </w:tc>
        <w:tc>
          <w:tcPr>
            <w:tcW w:w="923" w:type="pct"/>
            <w:shd w:val="clear" w:color="auto" w:fill="D9D9D9"/>
            <w:vAlign w:val="center"/>
          </w:tcPr>
          <w:p w14:paraId="37C04691">
            <w:pPr>
              <w:spacing w:line="240" w:lineRule="auto"/>
              <w:jc w:val="center"/>
            </w:pPr>
            <w:r>
              <w:rPr>
                <w:rFonts w:ascii="宋体" w:hAnsi="宋体" w:eastAsia="宋体" w:cs="宋体"/>
                <w:b w:val="0"/>
              </w:rPr>
              <w:t>公允价值(元)</w:t>
            </w:r>
          </w:p>
        </w:tc>
        <w:tc>
          <w:tcPr>
            <w:tcW w:w="923" w:type="pct"/>
            <w:shd w:val="clear" w:color="auto" w:fill="D9D9D9"/>
            <w:vAlign w:val="center"/>
          </w:tcPr>
          <w:p w14:paraId="0370D40D">
            <w:pPr>
              <w:spacing w:line="240" w:lineRule="auto"/>
              <w:jc w:val="center"/>
            </w:pPr>
            <w:r>
              <w:rPr>
                <w:rFonts w:ascii="宋体" w:hAnsi="宋体" w:eastAsia="宋体" w:cs="宋体"/>
                <w:b w:val="0"/>
              </w:rPr>
              <w:t>占基金资产净值比例(%)</w:t>
            </w:r>
          </w:p>
        </w:tc>
      </w:tr>
      <w:tr w14:paraId="105736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581C717">
            <w:pPr>
              <w:spacing w:line="240" w:lineRule="auto"/>
              <w:jc w:val="center"/>
            </w:pPr>
            <w:r>
              <w:rPr>
                <w:rFonts w:ascii="宋体" w:hAnsi="宋体" w:eastAsia="宋体" w:cs="宋体"/>
                <w:b w:val="0"/>
              </w:rPr>
              <w:t>1</w:t>
            </w:r>
          </w:p>
        </w:tc>
        <w:tc>
          <w:tcPr>
            <w:tcW w:w="0" w:type="dxa"/>
          </w:tcPr>
          <w:p w14:paraId="51C4AB3D">
            <w:pPr>
              <w:spacing w:line="240" w:lineRule="auto"/>
              <w:jc w:val="left"/>
            </w:pPr>
            <w:r>
              <w:rPr>
                <w:rFonts w:ascii="宋体" w:hAnsi="宋体" w:eastAsia="宋体" w:cs="宋体"/>
                <w:b w:val="0"/>
              </w:rPr>
              <w:t>019758</w:t>
            </w:r>
          </w:p>
        </w:tc>
        <w:tc>
          <w:tcPr>
            <w:tcW w:w="0" w:type="dxa"/>
          </w:tcPr>
          <w:p w14:paraId="40763068">
            <w:pPr>
              <w:spacing w:line="240" w:lineRule="auto"/>
              <w:jc w:val="left"/>
            </w:pPr>
            <w:r>
              <w:rPr>
                <w:rFonts w:ascii="宋体" w:hAnsi="宋体" w:eastAsia="宋体" w:cs="宋体"/>
                <w:b w:val="0"/>
              </w:rPr>
              <w:t>24国债21</w:t>
            </w:r>
          </w:p>
        </w:tc>
        <w:tc>
          <w:tcPr>
            <w:tcW w:w="0" w:type="dxa"/>
          </w:tcPr>
          <w:p w14:paraId="77BCBFD2">
            <w:pPr>
              <w:spacing w:line="240" w:lineRule="auto"/>
              <w:jc w:val="right"/>
            </w:pPr>
            <w:r>
              <w:rPr>
                <w:rFonts w:ascii="宋体" w:hAnsi="宋体" w:eastAsia="宋体" w:cs="宋体"/>
                <w:b w:val="0"/>
              </w:rPr>
              <w:t>138,000</w:t>
            </w:r>
          </w:p>
        </w:tc>
        <w:tc>
          <w:tcPr>
            <w:tcW w:w="0" w:type="dxa"/>
          </w:tcPr>
          <w:p w14:paraId="0551891C">
            <w:pPr>
              <w:spacing w:line="240" w:lineRule="auto"/>
              <w:jc w:val="right"/>
            </w:pPr>
            <w:r>
              <w:rPr>
                <w:rFonts w:ascii="宋体" w:hAnsi="宋体" w:eastAsia="宋体" w:cs="宋体"/>
                <w:b w:val="0"/>
              </w:rPr>
              <w:t>13,923,829.48</w:t>
            </w:r>
          </w:p>
        </w:tc>
        <w:tc>
          <w:tcPr>
            <w:tcW w:w="0" w:type="dxa"/>
          </w:tcPr>
          <w:p w14:paraId="5DC71B54">
            <w:pPr>
              <w:spacing w:line="240" w:lineRule="auto"/>
              <w:jc w:val="right"/>
            </w:pPr>
            <w:r>
              <w:rPr>
                <w:rFonts w:ascii="宋体" w:hAnsi="宋体" w:eastAsia="宋体" w:cs="宋体"/>
                <w:b w:val="0"/>
              </w:rPr>
              <w:t>4.33</w:t>
            </w:r>
          </w:p>
        </w:tc>
      </w:tr>
      <w:tr w14:paraId="632A4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C1D54F3">
            <w:pPr>
              <w:spacing w:line="240" w:lineRule="auto"/>
              <w:jc w:val="center"/>
            </w:pPr>
            <w:r>
              <w:rPr>
                <w:rFonts w:ascii="宋体" w:hAnsi="宋体" w:eastAsia="宋体" w:cs="宋体"/>
                <w:b w:val="0"/>
              </w:rPr>
              <w:t>2</w:t>
            </w:r>
          </w:p>
        </w:tc>
        <w:tc>
          <w:tcPr>
            <w:tcW w:w="0" w:type="dxa"/>
          </w:tcPr>
          <w:p w14:paraId="5C98E293">
            <w:pPr>
              <w:spacing w:line="240" w:lineRule="auto"/>
              <w:jc w:val="left"/>
            </w:pPr>
            <w:r>
              <w:rPr>
                <w:rFonts w:ascii="宋体" w:hAnsi="宋体" w:eastAsia="宋体" w:cs="宋体"/>
                <w:b w:val="0"/>
              </w:rPr>
              <w:t>019766</w:t>
            </w:r>
          </w:p>
        </w:tc>
        <w:tc>
          <w:tcPr>
            <w:tcW w:w="0" w:type="dxa"/>
          </w:tcPr>
          <w:p w14:paraId="20636AD0">
            <w:pPr>
              <w:spacing w:line="240" w:lineRule="auto"/>
              <w:jc w:val="left"/>
            </w:pPr>
            <w:r>
              <w:rPr>
                <w:rFonts w:ascii="宋体" w:hAnsi="宋体" w:eastAsia="宋体" w:cs="宋体"/>
                <w:b w:val="0"/>
              </w:rPr>
              <w:t>25国债01</w:t>
            </w:r>
          </w:p>
        </w:tc>
        <w:tc>
          <w:tcPr>
            <w:tcW w:w="0" w:type="dxa"/>
          </w:tcPr>
          <w:p w14:paraId="3167300A">
            <w:pPr>
              <w:spacing w:line="240" w:lineRule="auto"/>
              <w:jc w:val="right"/>
            </w:pPr>
            <w:r>
              <w:rPr>
                <w:rFonts w:ascii="宋体" w:hAnsi="宋体" w:eastAsia="宋体" w:cs="宋体"/>
                <w:b w:val="0"/>
              </w:rPr>
              <w:t>22,000</w:t>
            </w:r>
          </w:p>
        </w:tc>
        <w:tc>
          <w:tcPr>
            <w:tcW w:w="0" w:type="dxa"/>
          </w:tcPr>
          <w:p w14:paraId="29D71980">
            <w:pPr>
              <w:spacing w:line="240" w:lineRule="auto"/>
              <w:jc w:val="right"/>
            </w:pPr>
            <w:r>
              <w:rPr>
                <w:rFonts w:ascii="宋体" w:hAnsi="宋体" w:eastAsia="宋体" w:cs="宋体"/>
                <w:b w:val="0"/>
              </w:rPr>
              <w:t>2,209,696.27</w:t>
            </w:r>
          </w:p>
        </w:tc>
        <w:tc>
          <w:tcPr>
            <w:tcW w:w="0" w:type="dxa"/>
          </w:tcPr>
          <w:p w14:paraId="12E508AC">
            <w:pPr>
              <w:spacing w:line="240" w:lineRule="auto"/>
              <w:jc w:val="right"/>
            </w:pPr>
            <w:r>
              <w:rPr>
                <w:rFonts w:ascii="宋体" w:hAnsi="宋体" w:eastAsia="宋体" w:cs="宋体"/>
                <w:b w:val="0"/>
              </w:rPr>
              <w:t>0.69</w:t>
            </w:r>
          </w:p>
        </w:tc>
      </w:tr>
    </w:tbl>
    <w:p w14:paraId="2951E034">
      <w:r>
        <w:rPr>
          <w:rFonts w:ascii="宋体" w:hAnsi="宋体" w:eastAsia="宋体" w:cs="宋体"/>
          <w:b w:val="0"/>
        </w:rPr>
        <w:t>注：本基金本报告期末仅持有上述债券。</w:t>
      </w:r>
    </w:p>
    <w:p w14:paraId="06B257D1"/>
    <w:p w14:paraId="16819349">
      <w:pPr>
        <w:pStyle w:val="3"/>
        <w:jc w:val="left"/>
      </w:pPr>
      <w:r>
        <w:rPr>
          <w:rFonts w:ascii="宋体" w:hAnsi="宋体" w:eastAsia="宋体" w:cs="宋体"/>
        </w:rPr>
        <w:t>5.6 报告期末按公允价值占基金资产净值比例大小排序的前十名资产支持证券投资明细</w:t>
      </w:r>
    </w:p>
    <w:p w14:paraId="026E198D">
      <w:r>
        <w:rPr>
          <w:rFonts w:ascii="宋体" w:hAnsi="宋体" w:eastAsia="宋体" w:cs="宋体"/>
          <w:b w:val="0"/>
        </w:rPr>
        <w:t xml:space="preserve">    本基金本报告期末未持有资产支持证券。</w:t>
      </w:r>
    </w:p>
    <w:p w14:paraId="12FBD70D"/>
    <w:p w14:paraId="4B852E6C">
      <w:pPr>
        <w:pStyle w:val="3"/>
        <w:jc w:val="left"/>
      </w:pPr>
      <w:r>
        <w:rPr>
          <w:rFonts w:ascii="宋体" w:hAnsi="宋体" w:eastAsia="宋体" w:cs="宋体"/>
        </w:rPr>
        <w:t>5.7 报告期末按公允价值占基金资产净值比例大小排序的前五名贵金属投资明细</w:t>
      </w:r>
    </w:p>
    <w:p w14:paraId="337D5CB5">
      <w:r>
        <w:rPr>
          <w:rFonts w:ascii="宋体" w:hAnsi="宋体" w:eastAsia="宋体" w:cs="宋体"/>
          <w:b w:val="0"/>
        </w:rPr>
        <w:t xml:space="preserve">    本基金本报告期末未持有贵金属。</w:t>
      </w:r>
      <w:r>
        <w:rPr>
          <w:rFonts w:ascii="宋体" w:hAnsi="宋体" w:eastAsia="宋体" w:cs="宋体"/>
          <w:b w:val="0"/>
        </w:rPr>
        <w:cr/>
      </w:r>
      <w:r>
        <w:rPr>
          <w:rFonts w:ascii="宋体" w:hAnsi="宋体" w:eastAsia="宋体" w:cs="宋体"/>
          <w:b w:val="0"/>
        </w:rPr>
        <w:t xml:space="preserve">    </w:t>
      </w:r>
    </w:p>
    <w:p w14:paraId="226235DB"/>
    <w:p w14:paraId="2317153B">
      <w:pPr>
        <w:pStyle w:val="3"/>
        <w:jc w:val="left"/>
      </w:pPr>
      <w:r>
        <w:rPr>
          <w:rFonts w:ascii="宋体" w:hAnsi="宋体" w:eastAsia="宋体" w:cs="宋体"/>
        </w:rPr>
        <w:t>5.8 报告期末按公允价值占基金资产净值比例大小排序的前五名权证投资明细</w:t>
      </w:r>
    </w:p>
    <w:p w14:paraId="4E4E592A">
      <w:r>
        <w:rPr>
          <w:rFonts w:ascii="宋体" w:hAnsi="宋体" w:eastAsia="宋体" w:cs="宋体"/>
          <w:b w:val="0"/>
        </w:rPr>
        <w:t xml:space="preserve">    本基金本报告期末未持有权证。</w:t>
      </w:r>
      <w:r>
        <w:rPr>
          <w:rFonts w:ascii="宋体" w:hAnsi="宋体" w:eastAsia="宋体" w:cs="宋体"/>
          <w:b w:val="0"/>
        </w:rPr>
        <w:cr/>
      </w:r>
      <w:r>
        <w:rPr>
          <w:rFonts w:ascii="宋体" w:hAnsi="宋体" w:eastAsia="宋体" w:cs="宋体"/>
          <w:b w:val="0"/>
        </w:rPr>
        <w:t xml:space="preserve">    </w:t>
      </w:r>
    </w:p>
    <w:p w14:paraId="1B03CF5F"/>
    <w:p w14:paraId="3A291AD1">
      <w:pPr>
        <w:pStyle w:val="3"/>
        <w:jc w:val="left"/>
      </w:pPr>
      <w:r>
        <w:rPr>
          <w:rFonts w:ascii="宋体" w:hAnsi="宋体" w:eastAsia="宋体" w:cs="宋体"/>
        </w:rPr>
        <w:t>5.9 报告期末本基金投资的股指期货交易情况说明</w:t>
      </w:r>
    </w:p>
    <w:p w14:paraId="4789843D">
      <w:r>
        <w:rPr>
          <w:rFonts w:ascii="宋体" w:hAnsi="宋体" w:eastAsia="宋体" w:cs="宋体"/>
          <w:b w:val="0"/>
        </w:rPr>
        <w:t xml:space="preserve">    本基金本报告期末未持有股指期货。</w:t>
      </w:r>
    </w:p>
    <w:p w14:paraId="2D3AD0D2"/>
    <w:p w14:paraId="2AB29223">
      <w:pPr>
        <w:pStyle w:val="3"/>
        <w:jc w:val="left"/>
      </w:pPr>
      <w:r>
        <w:rPr>
          <w:rFonts w:ascii="宋体" w:hAnsi="宋体" w:eastAsia="宋体" w:cs="宋体"/>
        </w:rPr>
        <w:t>5.10 报告期末本基金投资的国债期货交易情况说明</w:t>
      </w:r>
    </w:p>
    <w:p w14:paraId="4BBDEB91">
      <w:r>
        <w:rPr>
          <w:rFonts w:ascii="宋体" w:hAnsi="宋体" w:eastAsia="宋体" w:cs="宋体"/>
          <w:b w:val="0"/>
        </w:rPr>
        <w:t xml:space="preserve">    本基金本报告期末未持有国债期货。</w:t>
      </w:r>
      <w:r>
        <w:rPr>
          <w:rFonts w:ascii="宋体" w:hAnsi="宋体" w:eastAsia="宋体" w:cs="宋体"/>
          <w:b w:val="0"/>
        </w:rPr>
        <w:cr/>
      </w:r>
      <w:r>
        <w:rPr>
          <w:rFonts w:ascii="宋体" w:hAnsi="宋体" w:eastAsia="宋体" w:cs="宋体"/>
          <w:b w:val="0"/>
        </w:rPr>
        <w:t xml:space="preserve">    </w:t>
      </w:r>
    </w:p>
    <w:p w14:paraId="7C0C370F"/>
    <w:p w14:paraId="23BAC9C2">
      <w:pPr>
        <w:pStyle w:val="3"/>
        <w:jc w:val="left"/>
      </w:pPr>
      <w:r>
        <w:rPr>
          <w:rFonts w:ascii="宋体" w:hAnsi="宋体" w:eastAsia="宋体" w:cs="宋体"/>
        </w:rPr>
        <w:t>5.11 投资组合报告附注</w:t>
      </w:r>
    </w:p>
    <w:p w14:paraId="42807001">
      <w:r>
        <w:rPr>
          <w:rFonts w:ascii="宋体" w:hAnsi="宋体" w:eastAsia="宋体" w:cs="宋体"/>
          <w:b/>
        </w:rPr>
        <w:t>5.11.1 本基金投资的前十名证券的发行主体本期受到监管部门立案调查或报告编制日前一年内受到公开谴责、处罚的情形说明</w:t>
      </w:r>
    </w:p>
    <w:p w14:paraId="7C78CC04">
      <w:r>
        <w:rPr>
          <w:rFonts w:ascii="宋体" w:hAnsi="宋体" w:eastAsia="宋体" w:cs="宋体"/>
          <w:b w:val="0"/>
        </w:rPr>
        <w:t xml:space="preserve">    本基金投资的前十名证券的发行主体本期未出现被监管部门立案调查，或在报告编制日前一年内受到公开谴责、处罚的情形。</w:t>
      </w:r>
    </w:p>
    <w:p w14:paraId="053FB1B9"/>
    <w:p w14:paraId="76025059">
      <w:r>
        <w:rPr>
          <w:rFonts w:ascii="宋体" w:hAnsi="宋体" w:eastAsia="宋体" w:cs="宋体"/>
          <w:b/>
        </w:rPr>
        <w:t>5.11.2 基金投资的前十名股票超出基金合同规定的备选股票库情况的说明</w:t>
      </w:r>
    </w:p>
    <w:p w14:paraId="63C0429E">
      <w:r>
        <w:rPr>
          <w:rFonts w:ascii="宋体" w:hAnsi="宋体" w:eastAsia="宋体" w:cs="宋体"/>
          <w:b w:val="0"/>
        </w:rPr>
        <w:t xml:space="preserve">    基金投资的前十名股票，均为基金合同规定备选股票库之内的股票。</w:t>
      </w:r>
    </w:p>
    <w:p w14:paraId="5092C950"/>
    <w:p w14:paraId="2DC424B3">
      <w:r>
        <w:rPr>
          <w:rFonts w:ascii="宋体" w:hAnsi="宋体" w:eastAsia="宋体" w:cs="宋体"/>
          <w:b/>
        </w:rPr>
        <w:t>5.11.3 其他资产构成</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0"/>
        <w:gridCol w:w="4804"/>
        <w:gridCol w:w="3202"/>
      </w:tblGrid>
      <w:tr w14:paraId="65555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pct"/>
            <w:shd w:val="clear" w:color="auto" w:fill="D9D9D9"/>
          </w:tcPr>
          <w:p w14:paraId="1FCF6636">
            <w:pPr>
              <w:spacing w:line="240" w:lineRule="auto"/>
              <w:jc w:val="center"/>
            </w:pPr>
            <w:r>
              <w:rPr>
                <w:rFonts w:ascii="宋体" w:hAnsi="宋体" w:eastAsia="宋体" w:cs="宋体"/>
                <w:b w:val="0"/>
              </w:rPr>
              <w:t>序号</w:t>
            </w:r>
          </w:p>
        </w:tc>
        <w:tc>
          <w:tcPr>
            <w:tcW w:w="2308" w:type="pct"/>
            <w:shd w:val="clear" w:color="auto" w:fill="D9D9D9"/>
          </w:tcPr>
          <w:p w14:paraId="4C24A673">
            <w:pPr>
              <w:spacing w:line="240" w:lineRule="auto"/>
              <w:jc w:val="center"/>
            </w:pPr>
            <w:r>
              <w:rPr>
                <w:rFonts w:ascii="宋体" w:hAnsi="宋体" w:eastAsia="宋体" w:cs="宋体"/>
                <w:b w:val="0"/>
              </w:rPr>
              <w:t>名称</w:t>
            </w:r>
          </w:p>
        </w:tc>
        <w:tc>
          <w:tcPr>
            <w:tcW w:w="1538" w:type="pct"/>
            <w:shd w:val="clear" w:color="auto" w:fill="D9D9D9"/>
          </w:tcPr>
          <w:p w14:paraId="61602365">
            <w:pPr>
              <w:spacing w:line="240" w:lineRule="auto"/>
              <w:jc w:val="center"/>
            </w:pPr>
            <w:r>
              <w:rPr>
                <w:rFonts w:ascii="宋体" w:hAnsi="宋体" w:eastAsia="宋体" w:cs="宋体"/>
                <w:b w:val="0"/>
              </w:rPr>
              <w:t>金额(元)</w:t>
            </w:r>
          </w:p>
        </w:tc>
      </w:tr>
      <w:tr w14:paraId="24EE3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0FAF38F">
            <w:pPr>
              <w:spacing w:line="240" w:lineRule="auto"/>
              <w:jc w:val="center"/>
            </w:pPr>
            <w:r>
              <w:rPr>
                <w:rFonts w:ascii="宋体" w:hAnsi="宋体" w:eastAsia="宋体" w:cs="宋体"/>
                <w:b w:val="0"/>
              </w:rPr>
              <w:t>1</w:t>
            </w:r>
          </w:p>
        </w:tc>
        <w:tc>
          <w:tcPr>
            <w:tcW w:w="0" w:type="dxa"/>
          </w:tcPr>
          <w:p w14:paraId="03242664">
            <w:pPr>
              <w:spacing w:line="240" w:lineRule="auto"/>
              <w:jc w:val="left"/>
            </w:pPr>
            <w:r>
              <w:rPr>
                <w:rFonts w:ascii="宋体" w:hAnsi="宋体" w:eastAsia="宋体" w:cs="宋体"/>
                <w:b w:val="0"/>
              </w:rPr>
              <w:t>存出保证金</w:t>
            </w:r>
          </w:p>
        </w:tc>
        <w:tc>
          <w:tcPr>
            <w:tcW w:w="0" w:type="dxa"/>
          </w:tcPr>
          <w:p w14:paraId="71388F2B">
            <w:pPr>
              <w:spacing w:line="240" w:lineRule="auto"/>
              <w:jc w:val="right"/>
            </w:pPr>
            <w:r>
              <w:rPr>
                <w:rFonts w:ascii="宋体" w:hAnsi="宋体" w:eastAsia="宋体" w:cs="宋体"/>
                <w:b w:val="0"/>
              </w:rPr>
              <w:t>-</w:t>
            </w:r>
          </w:p>
        </w:tc>
      </w:tr>
      <w:tr w14:paraId="7B1D9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3878D2F">
            <w:pPr>
              <w:spacing w:line="240" w:lineRule="auto"/>
              <w:jc w:val="center"/>
            </w:pPr>
            <w:r>
              <w:rPr>
                <w:rFonts w:ascii="宋体" w:hAnsi="宋体" w:eastAsia="宋体" w:cs="宋体"/>
                <w:b w:val="0"/>
              </w:rPr>
              <w:t>2</w:t>
            </w:r>
          </w:p>
        </w:tc>
        <w:tc>
          <w:tcPr>
            <w:tcW w:w="0" w:type="dxa"/>
          </w:tcPr>
          <w:p w14:paraId="23D8BDB3">
            <w:pPr>
              <w:spacing w:line="240" w:lineRule="auto"/>
              <w:jc w:val="left"/>
            </w:pPr>
            <w:r>
              <w:rPr>
                <w:rFonts w:ascii="宋体" w:hAnsi="宋体" w:eastAsia="宋体" w:cs="宋体"/>
                <w:b w:val="0"/>
              </w:rPr>
              <w:t>应收证券清算款</w:t>
            </w:r>
          </w:p>
        </w:tc>
        <w:tc>
          <w:tcPr>
            <w:tcW w:w="0" w:type="dxa"/>
          </w:tcPr>
          <w:p w14:paraId="79179E5B">
            <w:pPr>
              <w:spacing w:line="240" w:lineRule="auto"/>
              <w:jc w:val="right"/>
            </w:pPr>
            <w:r>
              <w:rPr>
                <w:rFonts w:ascii="宋体" w:hAnsi="宋体" w:eastAsia="宋体" w:cs="宋体"/>
                <w:b w:val="0"/>
              </w:rPr>
              <w:t>-</w:t>
            </w:r>
          </w:p>
        </w:tc>
      </w:tr>
      <w:tr w14:paraId="1DE96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E0E17C5">
            <w:pPr>
              <w:spacing w:line="240" w:lineRule="auto"/>
              <w:jc w:val="center"/>
            </w:pPr>
            <w:r>
              <w:rPr>
                <w:rFonts w:ascii="宋体" w:hAnsi="宋体" w:eastAsia="宋体" w:cs="宋体"/>
                <w:b w:val="0"/>
              </w:rPr>
              <w:t>3</w:t>
            </w:r>
          </w:p>
        </w:tc>
        <w:tc>
          <w:tcPr>
            <w:tcW w:w="0" w:type="dxa"/>
          </w:tcPr>
          <w:p w14:paraId="7A3AD6E7">
            <w:pPr>
              <w:spacing w:line="240" w:lineRule="auto"/>
              <w:jc w:val="left"/>
            </w:pPr>
            <w:r>
              <w:rPr>
                <w:rFonts w:ascii="宋体" w:hAnsi="宋体" w:eastAsia="宋体" w:cs="宋体"/>
                <w:b w:val="0"/>
              </w:rPr>
              <w:t>应收股利</w:t>
            </w:r>
          </w:p>
        </w:tc>
        <w:tc>
          <w:tcPr>
            <w:tcW w:w="0" w:type="dxa"/>
          </w:tcPr>
          <w:p w14:paraId="06E4743E">
            <w:pPr>
              <w:spacing w:line="240" w:lineRule="auto"/>
              <w:jc w:val="right"/>
            </w:pPr>
            <w:r>
              <w:rPr>
                <w:rFonts w:ascii="宋体" w:hAnsi="宋体" w:eastAsia="宋体" w:cs="宋体"/>
                <w:b w:val="0"/>
              </w:rPr>
              <w:t>-</w:t>
            </w:r>
          </w:p>
        </w:tc>
      </w:tr>
      <w:tr w14:paraId="3F189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F5804CD">
            <w:pPr>
              <w:spacing w:line="240" w:lineRule="auto"/>
              <w:jc w:val="center"/>
            </w:pPr>
            <w:r>
              <w:rPr>
                <w:rFonts w:ascii="宋体" w:hAnsi="宋体" w:eastAsia="宋体" w:cs="宋体"/>
                <w:b w:val="0"/>
              </w:rPr>
              <w:t>4</w:t>
            </w:r>
          </w:p>
        </w:tc>
        <w:tc>
          <w:tcPr>
            <w:tcW w:w="0" w:type="dxa"/>
          </w:tcPr>
          <w:p w14:paraId="33550917">
            <w:pPr>
              <w:spacing w:line="240" w:lineRule="auto"/>
              <w:jc w:val="left"/>
            </w:pPr>
            <w:r>
              <w:rPr>
                <w:rFonts w:ascii="宋体" w:hAnsi="宋体" w:eastAsia="宋体" w:cs="宋体"/>
                <w:b w:val="0"/>
              </w:rPr>
              <w:t>应收利息</w:t>
            </w:r>
          </w:p>
        </w:tc>
        <w:tc>
          <w:tcPr>
            <w:tcW w:w="0" w:type="dxa"/>
          </w:tcPr>
          <w:p w14:paraId="5838CE69">
            <w:pPr>
              <w:spacing w:line="240" w:lineRule="auto"/>
              <w:jc w:val="right"/>
            </w:pPr>
            <w:r>
              <w:rPr>
                <w:rFonts w:ascii="宋体" w:hAnsi="宋体" w:eastAsia="宋体" w:cs="宋体"/>
                <w:b w:val="0"/>
              </w:rPr>
              <w:t>-</w:t>
            </w:r>
          </w:p>
        </w:tc>
      </w:tr>
      <w:tr w14:paraId="6F8D2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E123118">
            <w:pPr>
              <w:spacing w:line="240" w:lineRule="auto"/>
              <w:jc w:val="center"/>
            </w:pPr>
            <w:r>
              <w:rPr>
                <w:rFonts w:ascii="宋体" w:hAnsi="宋体" w:eastAsia="宋体" w:cs="宋体"/>
                <w:b w:val="0"/>
              </w:rPr>
              <w:t>5</w:t>
            </w:r>
          </w:p>
        </w:tc>
        <w:tc>
          <w:tcPr>
            <w:tcW w:w="0" w:type="dxa"/>
          </w:tcPr>
          <w:p w14:paraId="44A6421A">
            <w:pPr>
              <w:spacing w:line="240" w:lineRule="auto"/>
              <w:jc w:val="left"/>
            </w:pPr>
            <w:r>
              <w:rPr>
                <w:rFonts w:ascii="宋体" w:hAnsi="宋体" w:eastAsia="宋体" w:cs="宋体"/>
                <w:b w:val="0"/>
              </w:rPr>
              <w:t>应收申购款</w:t>
            </w:r>
          </w:p>
        </w:tc>
        <w:tc>
          <w:tcPr>
            <w:tcW w:w="0" w:type="dxa"/>
          </w:tcPr>
          <w:p w14:paraId="6860AA0C">
            <w:pPr>
              <w:spacing w:line="240" w:lineRule="auto"/>
              <w:jc w:val="right"/>
            </w:pPr>
            <w:r>
              <w:rPr>
                <w:rFonts w:ascii="宋体" w:hAnsi="宋体" w:eastAsia="宋体" w:cs="宋体"/>
                <w:b w:val="0"/>
              </w:rPr>
              <w:t>69,339.07</w:t>
            </w:r>
          </w:p>
        </w:tc>
      </w:tr>
      <w:tr w14:paraId="5D1977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621F9C4">
            <w:pPr>
              <w:spacing w:line="240" w:lineRule="auto"/>
              <w:jc w:val="center"/>
            </w:pPr>
            <w:r>
              <w:rPr>
                <w:rFonts w:ascii="宋体" w:hAnsi="宋体" w:eastAsia="宋体" w:cs="宋体"/>
                <w:b w:val="0"/>
              </w:rPr>
              <w:t>6</w:t>
            </w:r>
          </w:p>
        </w:tc>
        <w:tc>
          <w:tcPr>
            <w:tcW w:w="0" w:type="dxa"/>
          </w:tcPr>
          <w:p w14:paraId="6CABE997">
            <w:pPr>
              <w:spacing w:line="240" w:lineRule="auto"/>
              <w:jc w:val="left"/>
            </w:pPr>
            <w:r>
              <w:rPr>
                <w:rFonts w:ascii="宋体" w:hAnsi="宋体" w:eastAsia="宋体" w:cs="宋体"/>
                <w:b w:val="0"/>
              </w:rPr>
              <w:t>其他应收款</w:t>
            </w:r>
          </w:p>
        </w:tc>
        <w:tc>
          <w:tcPr>
            <w:tcW w:w="0" w:type="dxa"/>
          </w:tcPr>
          <w:p w14:paraId="69B05C4E">
            <w:pPr>
              <w:spacing w:line="240" w:lineRule="auto"/>
              <w:jc w:val="right"/>
            </w:pPr>
            <w:r>
              <w:rPr>
                <w:rFonts w:ascii="宋体" w:hAnsi="宋体" w:eastAsia="宋体" w:cs="宋体"/>
                <w:b w:val="0"/>
              </w:rPr>
              <w:t>-</w:t>
            </w:r>
          </w:p>
        </w:tc>
      </w:tr>
      <w:tr w14:paraId="22B59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1CE3434">
            <w:pPr>
              <w:spacing w:line="240" w:lineRule="auto"/>
              <w:jc w:val="center"/>
            </w:pPr>
            <w:r>
              <w:rPr>
                <w:rFonts w:ascii="宋体" w:hAnsi="宋体" w:eastAsia="宋体" w:cs="宋体"/>
                <w:b w:val="0"/>
              </w:rPr>
              <w:t>7</w:t>
            </w:r>
          </w:p>
        </w:tc>
        <w:tc>
          <w:tcPr>
            <w:tcW w:w="0" w:type="dxa"/>
          </w:tcPr>
          <w:p w14:paraId="10232B4B">
            <w:pPr>
              <w:spacing w:line="240" w:lineRule="auto"/>
              <w:jc w:val="left"/>
            </w:pPr>
            <w:r>
              <w:rPr>
                <w:rFonts w:ascii="宋体" w:hAnsi="宋体" w:eastAsia="宋体" w:cs="宋体"/>
                <w:b w:val="0"/>
              </w:rPr>
              <w:t>其他</w:t>
            </w:r>
          </w:p>
        </w:tc>
        <w:tc>
          <w:tcPr>
            <w:tcW w:w="0" w:type="dxa"/>
          </w:tcPr>
          <w:p w14:paraId="581723DE">
            <w:pPr>
              <w:spacing w:line="240" w:lineRule="auto"/>
              <w:jc w:val="right"/>
            </w:pPr>
            <w:r>
              <w:rPr>
                <w:rFonts w:ascii="宋体" w:hAnsi="宋体" w:eastAsia="宋体" w:cs="宋体"/>
                <w:b w:val="0"/>
              </w:rPr>
              <w:t>-</w:t>
            </w:r>
          </w:p>
        </w:tc>
      </w:tr>
      <w:tr w14:paraId="1A0BC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99EA677">
            <w:pPr>
              <w:spacing w:line="240" w:lineRule="auto"/>
              <w:jc w:val="center"/>
            </w:pPr>
            <w:r>
              <w:rPr>
                <w:rFonts w:ascii="宋体" w:hAnsi="宋体" w:eastAsia="宋体" w:cs="宋体"/>
                <w:b w:val="0"/>
              </w:rPr>
              <w:t>8</w:t>
            </w:r>
          </w:p>
        </w:tc>
        <w:tc>
          <w:tcPr>
            <w:tcW w:w="0" w:type="dxa"/>
          </w:tcPr>
          <w:p w14:paraId="1490B882">
            <w:pPr>
              <w:spacing w:line="240" w:lineRule="auto"/>
              <w:jc w:val="left"/>
            </w:pPr>
            <w:r>
              <w:rPr>
                <w:rFonts w:ascii="宋体" w:hAnsi="宋体" w:eastAsia="宋体" w:cs="宋体"/>
                <w:b w:val="0"/>
              </w:rPr>
              <w:t>合计</w:t>
            </w:r>
          </w:p>
        </w:tc>
        <w:tc>
          <w:tcPr>
            <w:tcW w:w="0" w:type="dxa"/>
          </w:tcPr>
          <w:p w14:paraId="4CA7DFEC">
            <w:pPr>
              <w:spacing w:line="240" w:lineRule="auto"/>
              <w:jc w:val="right"/>
            </w:pPr>
            <w:r>
              <w:rPr>
                <w:rFonts w:ascii="宋体" w:hAnsi="宋体" w:eastAsia="宋体" w:cs="宋体"/>
                <w:b w:val="0"/>
              </w:rPr>
              <w:t>69,339.07</w:t>
            </w:r>
          </w:p>
        </w:tc>
      </w:tr>
    </w:tbl>
    <w:p w14:paraId="2740B8ED"/>
    <w:p w14:paraId="7BAF8E5B">
      <w:r>
        <w:rPr>
          <w:rFonts w:ascii="宋体" w:hAnsi="宋体" w:eastAsia="宋体" w:cs="宋体"/>
          <w:b/>
        </w:rPr>
        <w:t>5.11.4 报告期末持有的处于转股期的可转换债券明细</w:t>
      </w:r>
    </w:p>
    <w:p w14:paraId="03F84182">
      <w:r>
        <w:rPr>
          <w:rFonts w:ascii="宋体" w:hAnsi="宋体" w:eastAsia="宋体" w:cs="宋体"/>
          <w:b w:val="0"/>
        </w:rPr>
        <w:t xml:space="preserve">    本基金本报告期末未持有处于转股期的可转换债券。</w:t>
      </w:r>
      <w:r>
        <w:rPr>
          <w:rFonts w:ascii="宋体" w:hAnsi="宋体" w:eastAsia="宋体" w:cs="宋体"/>
          <w:b w:val="0"/>
        </w:rPr>
        <w:cr/>
      </w:r>
      <w:r>
        <w:rPr>
          <w:rFonts w:ascii="宋体" w:hAnsi="宋体" w:eastAsia="宋体" w:cs="宋体"/>
          <w:b w:val="0"/>
        </w:rPr>
        <w:t xml:space="preserve">    </w:t>
      </w:r>
    </w:p>
    <w:p w14:paraId="46048706"/>
    <w:p w14:paraId="67F07398">
      <w:r>
        <w:rPr>
          <w:rFonts w:ascii="宋体" w:hAnsi="宋体" w:eastAsia="宋体" w:cs="宋体"/>
          <w:b/>
        </w:rPr>
        <w:t>5.11.5 报告期末前十名股票中存在流通受限情况的说明</w:t>
      </w:r>
    </w:p>
    <w:p w14:paraId="65B3B090">
      <w:r>
        <w:rPr>
          <w:rFonts w:ascii="宋体" w:hAnsi="宋体" w:eastAsia="宋体" w:cs="宋体"/>
          <w:b w:val="0"/>
        </w:rPr>
        <w:t xml:space="preserve">    本基金本报告期末前十名股票中不存在流通受限情况。</w:t>
      </w:r>
    </w:p>
    <w:p w14:paraId="0584920B"/>
    <w:p w14:paraId="650B749D">
      <w:r>
        <w:rPr>
          <w:rFonts w:ascii="宋体" w:hAnsi="宋体" w:eastAsia="宋体" w:cs="宋体"/>
          <w:b/>
        </w:rPr>
        <w:t>5.11.6 投资组合报告附注的其他文字描述部分</w:t>
      </w:r>
    </w:p>
    <w:p w14:paraId="34B6829B">
      <w:r>
        <w:rPr>
          <w:rFonts w:ascii="宋体" w:hAnsi="宋体" w:eastAsia="宋体" w:cs="宋体"/>
          <w:b w:val="0"/>
        </w:rPr>
        <w:t xml:space="preserve">    由于四舍五入原因，分项之和与合计项之间可能存在尾差。</w:t>
      </w:r>
    </w:p>
    <w:p w14:paraId="607749C0"/>
    <w:p w14:paraId="776ED6BC">
      <w:pPr>
        <w:pStyle w:val="2"/>
        <w:jc w:val="center"/>
      </w:pPr>
      <w:r>
        <w:rPr>
          <w:rFonts w:ascii="宋体" w:hAnsi="宋体" w:eastAsia="宋体" w:cs="宋体"/>
        </w:rPr>
        <w:t>§6 开放式基金份额变动</w:t>
      </w:r>
    </w:p>
    <w:p w14:paraId="0486057F">
      <w:pPr>
        <w:jc w:val="right"/>
      </w:pPr>
      <w:r>
        <w:rPr>
          <w:rFonts w:ascii="宋体" w:hAnsi="宋体" w:eastAsia="宋体" w:cs="宋体"/>
          <w:b w:val="0"/>
        </w:rPr>
        <w:t>单位：份</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91"/>
        <w:gridCol w:w="1686"/>
        <w:gridCol w:w="1604"/>
        <w:gridCol w:w="1605"/>
      </w:tblGrid>
      <w:tr w14:paraId="1711D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8" w:type="pct"/>
            <w:vAlign w:val="center"/>
          </w:tcPr>
          <w:p w14:paraId="15D05D92">
            <w:pPr>
              <w:spacing w:line="240" w:lineRule="auto"/>
              <w:jc w:val="center"/>
            </w:pPr>
          </w:p>
        </w:tc>
        <w:tc>
          <w:tcPr>
            <w:tcW w:w="850" w:type="pct"/>
            <w:vAlign w:val="center"/>
          </w:tcPr>
          <w:p w14:paraId="6FAF8087">
            <w:pPr>
              <w:spacing w:line="240" w:lineRule="auto"/>
              <w:jc w:val="center"/>
            </w:pPr>
            <w:r>
              <w:rPr>
                <w:rFonts w:ascii="宋体" w:hAnsi="宋体" w:eastAsia="宋体" w:cs="宋体"/>
                <w:b w:val="0"/>
              </w:rPr>
              <w:t>东方阿尔法招阳混合A</w:t>
            </w:r>
          </w:p>
        </w:tc>
        <w:tc>
          <w:tcPr>
            <w:tcW w:w="850" w:type="pct"/>
            <w:vAlign w:val="center"/>
          </w:tcPr>
          <w:p w14:paraId="13193BB8">
            <w:pPr>
              <w:spacing w:line="240" w:lineRule="auto"/>
              <w:jc w:val="center"/>
            </w:pPr>
            <w:r>
              <w:rPr>
                <w:rFonts w:ascii="宋体" w:hAnsi="宋体" w:eastAsia="宋体" w:cs="宋体"/>
                <w:b w:val="0"/>
              </w:rPr>
              <w:t>东方阿尔法招阳混合C</w:t>
            </w:r>
          </w:p>
        </w:tc>
        <w:tc>
          <w:tcPr>
            <w:tcW w:w="850" w:type="pct"/>
            <w:vAlign w:val="center"/>
          </w:tcPr>
          <w:p w14:paraId="23EF540F">
            <w:pPr>
              <w:spacing w:line="240" w:lineRule="auto"/>
              <w:jc w:val="center"/>
            </w:pPr>
            <w:r>
              <w:rPr>
                <w:rFonts w:ascii="宋体" w:hAnsi="宋体" w:eastAsia="宋体" w:cs="宋体"/>
                <w:b w:val="0"/>
              </w:rPr>
              <w:t>东方阿尔法招阳混合E</w:t>
            </w:r>
          </w:p>
        </w:tc>
      </w:tr>
      <w:tr w14:paraId="7DB172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55AAC549">
            <w:pPr>
              <w:spacing w:line="240" w:lineRule="auto"/>
              <w:jc w:val="left"/>
            </w:pPr>
            <w:r>
              <w:rPr>
                <w:rFonts w:ascii="宋体" w:hAnsi="宋体" w:eastAsia="宋体" w:cs="宋体"/>
                <w:b w:val="0"/>
              </w:rPr>
              <w:t>报告期期初基金份额总额</w:t>
            </w:r>
          </w:p>
        </w:tc>
        <w:tc>
          <w:tcPr>
            <w:tcW w:w="850" w:type="pct"/>
            <w:vAlign w:val="center"/>
          </w:tcPr>
          <w:p w14:paraId="65ABAFA9">
            <w:pPr>
              <w:spacing w:line="240" w:lineRule="auto"/>
              <w:jc w:val="right"/>
            </w:pPr>
            <w:r>
              <w:rPr>
                <w:rFonts w:ascii="宋体" w:hAnsi="宋体" w:eastAsia="宋体" w:cs="宋体"/>
                <w:b w:val="0"/>
              </w:rPr>
              <w:t>652,233,513.63</w:t>
            </w:r>
          </w:p>
        </w:tc>
        <w:tc>
          <w:tcPr>
            <w:tcW w:w="850" w:type="pct"/>
            <w:vAlign w:val="center"/>
          </w:tcPr>
          <w:p w14:paraId="14A3FAFA">
            <w:pPr>
              <w:spacing w:line="240" w:lineRule="auto"/>
              <w:jc w:val="right"/>
            </w:pPr>
            <w:r>
              <w:rPr>
                <w:rFonts w:ascii="宋体" w:hAnsi="宋体" w:eastAsia="宋体" w:cs="宋体"/>
                <w:b w:val="0"/>
              </w:rPr>
              <w:t>9,177,106.99</w:t>
            </w:r>
          </w:p>
        </w:tc>
        <w:tc>
          <w:tcPr>
            <w:tcW w:w="850" w:type="pct"/>
            <w:vAlign w:val="center"/>
          </w:tcPr>
          <w:p w14:paraId="09DDB275">
            <w:pPr>
              <w:spacing w:line="240" w:lineRule="auto"/>
              <w:jc w:val="right"/>
            </w:pPr>
            <w:r>
              <w:rPr>
                <w:rFonts w:ascii="宋体" w:hAnsi="宋体" w:eastAsia="宋体" w:cs="宋体"/>
                <w:b w:val="0"/>
              </w:rPr>
              <w:t>3,287,457.43</w:t>
            </w:r>
          </w:p>
        </w:tc>
      </w:tr>
      <w:tr w14:paraId="428D43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5F04FB46">
            <w:pPr>
              <w:spacing w:line="240" w:lineRule="auto"/>
              <w:jc w:val="left"/>
            </w:pPr>
            <w:r>
              <w:rPr>
                <w:rFonts w:ascii="宋体" w:hAnsi="宋体" w:eastAsia="宋体" w:cs="宋体"/>
                <w:b w:val="0"/>
              </w:rPr>
              <w:t>报告期期间基金总申购份额</w:t>
            </w:r>
          </w:p>
        </w:tc>
        <w:tc>
          <w:tcPr>
            <w:tcW w:w="850" w:type="pct"/>
            <w:vAlign w:val="center"/>
          </w:tcPr>
          <w:p w14:paraId="2D22B21E">
            <w:pPr>
              <w:spacing w:line="240" w:lineRule="auto"/>
              <w:jc w:val="right"/>
            </w:pPr>
            <w:r>
              <w:rPr>
                <w:rFonts w:ascii="宋体" w:hAnsi="宋体" w:eastAsia="宋体" w:cs="宋体"/>
                <w:b w:val="0"/>
              </w:rPr>
              <w:t>1,860,298.07</w:t>
            </w:r>
          </w:p>
        </w:tc>
        <w:tc>
          <w:tcPr>
            <w:tcW w:w="850" w:type="pct"/>
            <w:vAlign w:val="center"/>
          </w:tcPr>
          <w:p w14:paraId="08D73450">
            <w:pPr>
              <w:spacing w:line="240" w:lineRule="auto"/>
              <w:jc w:val="right"/>
            </w:pPr>
            <w:r>
              <w:rPr>
                <w:rFonts w:ascii="宋体" w:hAnsi="宋体" w:eastAsia="宋体" w:cs="宋体"/>
                <w:b w:val="0"/>
              </w:rPr>
              <w:t>359,725.78</w:t>
            </w:r>
          </w:p>
        </w:tc>
        <w:tc>
          <w:tcPr>
            <w:tcW w:w="850" w:type="pct"/>
            <w:vAlign w:val="center"/>
          </w:tcPr>
          <w:p w14:paraId="76B0F609">
            <w:pPr>
              <w:spacing w:line="240" w:lineRule="auto"/>
              <w:jc w:val="right"/>
            </w:pPr>
            <w:r>
              <w:rPr>
                <w:rFonts w:ascii="宋体" w:hAnsi="宋体" w:eastAsia="宋体" w:cs="宋体"/>
                <w:b w:val="0"/>
              </w:rPr>
              <w:t>3,385,867.77</w:t>
            </w:r>
          </w:p>
        </w:tc>
      </w:tr>
      <w:tr w14:paraId="1EE1D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45C69E7D">
            <w:pPr>
              <w:spacing w:line="240" w:lineRule="auto"/>
              <w:jc w:val="left"/>
            </w:pPr>
            <w:r>
              <w:rPr>
                <w:rFonts w:ascii="宋体" w:hAnsi="宋体" w:eastAsia="宋体" w:cs="宋体"/>
                <w:b w:val="0"/>
              </w:rPr>
              <w:t>减：报告期期间基金总赎回份额</w:t>
            </w:r>
          </w:p>
        </w:tc>
        <w:tc>
          <w:tcPr>
            <w:tcW w:w="850" w:type="pct"/>
            <w:vAlign w:val="center"/>
          </w:tcPr>
          <w:p w14:paraId="38068F9B">
            <w:pPr>
              <w:spacing w:line="240" w:lineRule="auto"/>
              <w:jc w:val="right"/>
            </w:pPr>
            <w:r>
              <w:rPr>
                <w:rFonts w:ascii="宋体" w:hAnsi="宋体" w:eastAsia="宋体" w:cs="宋体"/>
                <w:b w:val="0"/>
              </w:rPr>
              <w:t>19,271,683.19</w:t>
            </w:r>
          </w:p>
        </w:tc>
        <w:tc>
          <w:tcPr>
            <w:tcW w:w="850" w:type="pct"/>
            <w:vAlign w:val="center"/>
          </w:tcPr>
          <w:p w14:paraId="65B9B1B7">
            <w:pPr>
              <w:spacing w:line="240" w:lineRule="auto"/>
              <w:jc w:val="right"/>
            </w:pPr>
            <w:r>
              <w:rPr>
                <w:rFonts w:ascii="宋体" w:hAnsi="宋体" w:eastAsia="宋体" w:cs="宋体"/>
                <w:b w:val="0"/>
              </w:rPr>
              <w:t>699,380.11</w:t>
            </w:r>
          </w:p>
        </w:tc>
        <w:tc>
          <w:tcPr>
            <w:tcW w:w="850" w:type="pct"/>
            <w:vAlign w:val="center"/>
          </w:tcPr>
          <w:p w14:paraId="6BA5AE70">
            <w:pPr>
              <w:spacing w:line="240" w:lineRule="auto"/>
              <w:jc w:val="right"/>
            </w:pPr>
            <w:r>
              <w:rPr>
                <w:rFonts w:ascii="宋体" w:hAnsi="宋体" w:eastAsia="宋体" w:cs="宋体"/>
                <w:b w:val="0"/>
              </w:rPr>
              <w:t>3,081,248.12</w:t>
            </w:r>
          </w:p>
        </w:tc>
      </w:tr>
      <w:tr w14:paraId="19463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60CF001F">
            <w:pPr>
              <w:spacing w:line="240" w:lineRule="auto"/>
              <w:jc w:val="left"/>
            </w:pPr>
            <w:r>
              <w:rPr>
                <w:rFonts w:ascii="宋体" w:hAnsi="宋体" w:eastAsia="宋体" w:cs="宋体"/>
                <w:b w:val="0"/>
              </w:rPr>
              <w:t>报告期期间基金拆分变动份额（份额减少以“-”填列）</w:t>
            </w:r>
          </w:p>
        </w:tc>
        <w:tc>
          <w:tcPr>
            <w:tcW w:w="850" w:type="pct"/>
            <w:vAlign w:val="center"/>
          </w:tcPr>
          <w:p w14:paraId="7051FA2C">
            <w:pPr>
              <w:spacing w:line="240" w:lineRule="auto"/>
              <w:jc w:val="right"/>
            </w:pPr>
            <w:r>
              <w:rPr>
                <w:rFonts w:ascii="宋体" w:hAnsi="宋体" w:eastAsia="宋体" w:cs="宋体"/>
                <w:b w:val="0"/>
              </w:rPr>
              <w:t>-</w:t>
            </w:r>
          </w:p>
        </w:tc>
        <w:tc>
          <w:tcPr>
            <w:tcW w:w="850" w:type="pct"/>
            <w:vAlign w:val="center"/>
          </w:tcPr>
          <w:p w14:paraId="10C4498D">
            <w:pPr>
              <w:spacing w:line="240" w:lineRule="auto"/>
              <w:jc w:val="right"/>
            </w:pPr>
            <w:r>
              <w:rPr>
                <w:rFonts w:ascii="宋体" w:hAnsi="宋体" w:eastAsia="宋体" w:cs="宋体"/>
                <w:b w:val="0"/>
              </w:rPr>
              <w:t>-</w:t>
            </w:r>
          </w:p>
        </w:tc>
        <w:tc>
          <w:tcPr>
            <w:tcW w:w="850" w:type="pct"/>
            <w:vAlign w:val="center"/>
          </w:tcPr>
          <w:p w14:paraId="4B02466A">
            <w:pPr>
              <w:spacing w:line="240" w:lineRule="auto"/>
              <w:jc w:val="right"/>
            </w:pPr>
            <w:r>
              <w:rPr>
                <w:rFonts w:ascii="宋体" w:hAnsi="宋体" w:eastAsia="宋体" w:cs="宋体"/>
                <w:b w:val="0"/>
              </w:rPr>
              <w:t>-</w:t>
            </w:r>
          </w:p>
        </w:tc>
      </w:tr>
      <w:tr w14:paraId="52CBB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3D9FD89B">
            <w:pPr>
              <w:spacing w:line="240" w:lineRule="auto"/>
              <w:jc w:val="left"/>
            </w:pPr>
            <w:r>
              <w:rPr>
                <w:rFonts w:ascii="宋体" w:hAnsi="宋体" w:eastAsia="宋体" w:cs="宋体"/>
                <w:b w:val="0"/>
              </w:rPr>
              <w:t>报告期期末基金份额总额</w:t>
            </w:r>
          </w:p>
        </w:tc>
        <w:tc>
          <w:tcPr>
            <w:tcW w:w="850" w:type="pct"/>
            <w:vAlign w:val="center"/>
          </w:tcPr>
          <w:p w14:paraId="6F0748D7">
            <w:pPr>
              <w:spacing w:line="240" w:lineRule="auto"/>
              <w:jc w:val="right"/>
            </w:pPr>
            <w:r>
              <w:rPr>
                <w:rFonts w:ascii="宋体" w:hAnsi="宋体" w:eastAsia="宋体" w:cs="宋体"/>
                <w:b w:val="0"/>
              </w:rPr>
              <w:t>634,822,128.51</w:t>
            </w:r>
          </w:p>
        </w:tc>
        <w:tc>
          <w:tcPr>
            <w:tcW w:w="850" w:type="pct"/>
            <w:vAlign w:val="center"/>
          </w:tcPr>
          <w:p w14:paraId="00DA844D">
            <w:pPr>
              <w:spacing w:line="240" w:lineRule="auto"/>
              <w:jc w:val="right"/>
            </w:pPr>
            <w:r>
              <w:rPr>
                <w:rFonts w:ascii="宋体" w:hAnsi="宋体" w:eastAsia="宋体" w:cs="宋体"/>
                <w:b w:val="0"/>
              </w:rPr>
              <w:t>8,837,452.66</w:t>
            </w:r>
          </w:p>
        </w:tc>
        <w:tc>
          <w:tcPr>
            <w:tcW w:w="850" w:type="pct"/>
            <w:vAlign w:val="center"/>
          </w:tcPr>
          <w:p w14:paraId="419ED556">
            <w:pPr>
              <w:spacing w:line="240" w:lineRule="auto"/>
              <w:jc w:val="right"/>
            </w:pPr>
            <w:r>
              <w:rPr>
                <w:rFonts w:ascii="宋体" w:hAnsi="宋体" w:eastAsia="宋体" w:cs="宋体"/>
                <w:b w:val="0"/>
              </w:rPr>
              <w:t>3,592,077.08</w:t>
            </w:r>
          </w:p>
        </w:tc>
      </w:tr>
    </w:tbl>
    <w:p w14:paraId="5139B750">
      <w:pPr>
        <w:pStyle w:val="2"/>
        <w:jc w:val="center"/>
      </w:pPr>
      <w:r>
        <w:rPr>
          <w:rFonts w:ascii="宋体" w:hAnsi="宋体" w:eastAsia="宋体" w:cs="宋体"/>
        </w:rPr>
        <w:t>§7 基金管理人运用固有资金投资本基金情况</w:t>
      </w:r>
    </w:p>
    <w:p w14:paraId="2044192E">
      <w:pPr>
        <w:pStyle w:val="3"/>
        <w:jc w:val="left"/>
      </w:pPr>
      <w:r>
        <w:rPr>
          <w:rFonts w:ascii="宋体" w:hAnsi="宋体" w:eastAsia="宋体" w:cs="宋体"/>
        </w:rPr>
        <w:t>7.1 基金管理人持有本基金份额变动情况</w:t>
      </w:r>
    </w:p>
    <w:p w14:paraId="5BFBB424">
      <w:r>
        <w:rPr>
          <w:rFonts w:ascii="宋体" w:hAnsi="宋体" w:eastAsia="宋体" w:cs="宋体"/>
          <w:b w:val="0"/>
        </w:rPr>
        <w:t xml:space="preserve">    截至本报告期末，本基金管理人未持有本基金份额。</w:t>
      </w:r>
    </w:p>
    <w:p w14:paraId="16D749C0"/>
    <w:p w14:paraId="55B324AF">
      <w:pPr>
        <w:pStyle w:val="3"/>
        <w:jc w:val="left"/>
      </w:pPr>
      <w:r>
        <w:rPr>
          <w:rFonts w:ascii="宋体" w:hAnsi="宋体" w:eastAsia="宋体" w:cs="宋体"/>
        </w:rPr>
        <w:t>7.2 基金管理人运用固有资金投资本基金交易明细</w:t>
      </w:r>
    </w:p>
    <w:p w14:paraId="3D0DCF35">
      <w:r>
        <w:rPr>
          <w:rFonts w:ascii="宋体" w:hAnsi="宋体" w:eastAsia="宋体" w:cs="宋体"/>
          <w:b w:val="0"/>
        </w:rPr>
        <w:t xml:space="preserve">    本报告期内， 本基金管理人未运用固有资金投资本基金。</w:t>
      </w:r>
    </w:p>
    <w:p w14:paraId="2F408502">
      <w:pPr>
        <w:pStyle w:val="2"/>
        <w:jc w:val="center"/>
      </w:pPr>
      <w:r>
        <w:rPr>
          <w:rFonts w:ascii="宋体" w:hAnsi="宋体" w:eastAsia="宋体" w:cs="宋体"/>
        </w:rPr>
        <w:t>§8 影响投资者决策的其他重要信息</w:t>
      </w:r>
    </w:p>
    <w:p w14:paraId="769D474C">
      <w:pPr>
        <w:pStyle w:val="3"/>
        <w:jc w:val="left"/>
      </w:pPr>
      <w:r>
        <w:rPr>
          <w:rFonts w:ascii="宋体" w:hAnsi="宋体" w:eastAsia="宋体" w:cs="宋体"/>
        </w:rPr>
        <w:t>8.1 报告期内单一投资者持有基金份额比例达到或超过20%的情况</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426"/>
        <w:gridCol w:w="2215"/>
        <w:gridCol w:w="1686"/>
        <w:gridCol w:w="997"/>
        <w:gridCol w:w="997"/>
        <w:gridCol w:w="1686"/>
        <w:gridCol w:w="853"/>
      </w:tblGrid>
      <w:tr w14:paraId="6424CC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 w:type="pct"/>
            <w:vMerge w:val="restart"/>
            <w:shd w:val="clear" w:color="auto" w:fill="D9D9D9"/>
            <w:vAlign w:val="center"/>
          </w:tcPr>
          <w:p w14:paraId="6128CC46">
            <w:pPr>
              <w:spacing w:line="240" w:lineRule="auto"/>
              <w:jc w:val="center"/>
            </w:pPr>
            <w:r>
              <w:rPr>
                <w:rFonts w:ascii="宋体" w:hAnsi="宋体" w:eastAsia="宋体" w:cs="宋体"/>
                <w:b w:val="0"/>
              </w:rPr>
              <w:t>投资者类别</w:t>
            </w:r>
          </w:p>
        </w:tc>
        <w:tc>
          <w:tcPr>
            <w:tcW w:w="3192" w:type="pct"/>
            <w:gridSpan w:val="5"/>
            <w:shd w:val="clear" w:color="auto" w:fill="D9D9D9"/>
            <w:vAlign w:val="center"/>
          </w:tcPr>
          <w:p w14:paraId="4848F08A">
            <w:pPr>
              <w:spacing w:line="240" w:lineRule="auto"/>
              <w:jc w:val="center"/>
            </w:pPr>
            <w:r>
              <w:rPr>
                <w:rFonts w:ascii="宋体" w:hAnsi="宋体" w:eastAsia="宋体" w:cs="宋体"/>
                <w:b w:val="0"/>
              </w:rPr>
              <w:t>报告期内持有基金份额变化情况</w:t>
            </w:r>
          </w:p>
        </w:tc>
        <w:tc>
          <w:tcPr>
            <w:tcW w:w="1154" w:type="pct"/>
            <w:gridSpan w:val="2"/>
            <w:shd w:val="clear" w:color="auto" w:fill="D9D9D9"/>
            <w:vAlign w:val="center"/>
          </w:tcPr>
          <w:p w14:paraId="2EE17DCA">
            <w:pPr>
              <w:spacing w:line="240" w:lineRule="auto"/>
              <w:jc w:val="center"/>
            </w:pPr>
            <w:r>
              <w:rPr>
                <w:rFonts w:ascii="宋体" w:hAnsi="宋体" w:eastAsia="宋体" w:cs="宋体"/>
                <w:b w:val="0"/>
              </w:rPr>
              <w:t>报告期末持有基金情况</w:t>
            </w:r>
          </w:p>
        </w:tc>
      </w:tr>
      <w:tr w14:paraId="587FA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vMerge w:val="continue"/>
          </w:tcPr>
          <w:p w14:paraId="63D6F363"/>
        </w:tc>
        <w:tc>
          <w:tcPr>
            <w:tcW w:w="269" w:type="pct"/>
            <w:shd w:val="clear" w:color="auto" w:fill="D9D9D9"/>
            <w:vAlign w:val="center"/>
          </w:tcPr>
          <w:p w14:paraId="37EB4319">
            <w:pPr>
              <w:spacing w:line="240" w:lineRule="auto"/>
              <w:jc w:val="center"/>
            </w:pPr>
            <w:r>
              <w:rPr>
                <w:rFonts w:ascii="宋体" w:hAnsi="宋体" w:eastAsia="宋体" w:cs="宋体"/>
                <w:b w:val="0"/>
              </w:rPr>
              <w:t>序号</w:t>
            </w:r>
          </w:p>
        </w:tc>
        <w:tc>
          <w:tcPr>
            <w:tcW w:w="1346" w:type="pct"/>
            <w:shd w:val="clear" w:color="auto" w:fill="D9D9D9"/>
            <w:vAlign w:val="center"/>
          </w:tcPr>
          <w:p w14:paraId="68EBAE27">
            <w:pPr>
              <w:spacing w:line="240" w:lineRule="auto"/>
              <w:jc w:val="center"/>
            </w:pPr>
            <w:r>
              <w:rPr>
                <w:rFonts w:ascii="宋体" w:hAnsi="宋体" w:eastAsia="宋体" w:cs="宋体"/>
                <w:b w:val="0"/>
              </w:rPr>
              <w:t>持有基金份额比例达到或者超过20%的时间区间</w:t>
            </w:r>
          </w:p>
        </w:tc>
        <w:tc>
          <w:tcPr>
            <w:tcW w:w="615" w:type="pct"/>
            <w:shd w:val="clear" w:color="auto" w:fill="D9D9D9"/>
            <w:vAlign w:val="center"/>
          </w:tcPr>
          <w:p w14:paraId="5B4293D2">
            <w:pPr>
              <w:spacing w:line="240" w:lineRule="auto"/>
              <w:jc w:val="center"/>
            </w:pPr>
            <w:r>
              <w:rPr>
                <w:rFonts w:ascii="宋体" w:hAnsi="宋体" w:eastAsia="宋体" w:cs="宋体"/>
                <w:b w:val="0"/>
              </w:rPr>
              <w:t>期初份额</w:t>
            </w:r>
          </w:p>
        </w:tc>
        <w:tc>
          <w:tcPr>
            <w:tcW w:w="615" w:type="pct"/>
            <w:shd w:val="clear" w:color="auto" w:fill="D9D9D9"/>
            <w:vAlign w:val="center"/>
          </w:tcPr>
          <w:p w14:paraId="7B8A6B95">
            <w:pPr>
              <w:spacing w:line="240" w:lineRule="auto"/>
              <w:jc w:val="center"/>
            </w:pPr>
            <w:r>
              <w:rPr>
                <w:rFonts w:ascii="宋体" w:hAnsi="宋体" w:eastAsia="宋体" w:cs="宋体"/>
                <w:b w:val="0"/>
              </w:rPr>
              <w:t>申购份额</w:t>
            </w:r>
          </w:p>
        </w:tc>
        <w:tc>
          <w:tcPr>
            <w:tcW w:w="615" w:type="pct"/>
            <w:shd w:val="clear" w:color="auto" w:fill="D9D9D9"/>
            <w:vAlign w:val="center"/>
          </w:tcPr>
          <w:p w14:paraId="45EF1222">
            <w:pPr>
              <w:spacing w:line="240" w:lineRule="auto"/>
              <w:jc w:val="center"/>
            </w:pPr>
            <w:r>
              <w:rPr>
                <w:rFonts w:ascii="宋体" w:hAnsi="宋体" w:eastAsia="宋体" w:cs="宋体"/>
                <w:b w:val="0"/>
              </w:rPr>
              <w:t>赎回份额</w:t>
            </w:r>
          </w:p>
        </w:tc>
        <w:tc>
          <w:tcPr>
            <w:tcW w:w="615" w:type="pct"/>
            <w:shd w:val="clear" w:color="auto" w:fill="D9D9D9"/>
            <w:vAlign w:val="center"/>
          </w:tcPr>
          <w:p w14:paraId="3827A245">
            <w:pPr>
              <w:spacing w:line="240" w:lineRule="auto"/>
              <w:jc w:val="center"/>
            </w:pPr>
            <w:r>
              <w:rPr>
                <w:rFonts w:ascii="宋体" w:hAnsi="宋体" w:eastAsia="宋体" w:cs="宋体"/>
                <w:b w:val="0"/>
              </w:rPr>
              <w:t>持有份额</w:t>
            </w:r>
          </w:p>
        </w:tc>
        <w:tc>
          <w:tcPr>
            <w:tcW w:w="538" w:type="pct"/>
            <w:shd w:val="clear" w:color="auto" w:fill="D9D9D9"/>
            <w:vAlign w:val="center"/>
          </w:tcPr>
          <w:p w14:paraId="4BE54F2C">
            <w:pPr>
              <w:spacing w:line="240" w:lineRule="auto"/>
              <w:jc w:val="center"/>
            </w:pPr>
            <w:r>
              <w:rPr>
                <w:rFonts w:ascii="宋体" w:hAnsi="宋体" w:eastAsia="宋体" w:cs="宋体"/>
                <w:b w:val="0"/>
              </w:rPr>
              <w:t>份额占比</w:t>
            </w:r>
          </w:p>
        </w:tc>
      </w:tr>
      <w:tr w14:paraId="08470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Merge w:val="restart"/>
            <w:vAlign w:val="center"/>
          </w:tcPr>
          <w:p w14:paraId="587D7F71">
            <w:pPr>
              <w:spacing w:line="240" w:lineRule="auto"/>
              <w:jc w:val="center"/>
            </w:pPr>
            <w:r>
              <w:rPr>
                <w:rFonts w:ascii="宋体" w:hAnsi="宋体" w:eastAsia="宋体" w:cs="宋体"/>
                <w:b w:val="0"/>
              </w:rPr>
              <w:t>个人</w:t>
            </w:r>
          </w:p>
        </w:tc>
        <w:tc>
          <w:tcPr>
            <w:tcW w:w="0" w:type="dxa"/>
            <w:vAlign w:val="center"/>
          </w:tcPr>
          <w:p w14:paraId="2934108C">
            <w:pPr>
              <w:spacing w:line="240" w:lineRule="auto"/>
              <w:jc w:val="center"/>
            </w:pPr>
            <w:r>
              <w:rPr>
                <w:rFonts w:ascii="宋体" w:hAnsi="宋体" w:eastAsia="宋体" w:cs="宋体"/>
                <w:b w:val="0"/>
              </w:rPr>
              <w:t>1</w:t>
            </w:r>
          </w:p>
        </w:tc>
        <w:tc>
          <w:tcPr>
            <w:tcW w:w="0" w:type="dxa"/>
            <w:vAlign w:val="center"/>
          </w:tcPr>
          <w:p w14:paraId="492CABED">
            <w:pPr>
              <w:spacing w:line="240" w:lineRule="auto"/>
              <w:jc w:val="center"/>
              <w:rPr>
                <w:rFonts w:ascii="宋体" w:hAnsi="宋体" w:eastAsia="宋体" w:cs="宋体"/>
                <w:b w:val="0"/>
              </w:rPr>
            </w:pPr>
            <w:r>
              <w:rPr>
                <w:rFonts w:ascii="宋体" w:hAnsi="宋体" w:eastAsia="宋体" w:cs="宋体"/>
                <w:b w:val="0"/>
              </w:rPr>
              <w:t>2025年4月1日-</w:t>
            </w:r>
          </w:p>
          <w:p w14:paraId="48F4EA28">
            <w:pPr>
              <w:spacing w:line="240" w:lineRule="auto"/>
              <w:jc w:val="center"/>
            </w:pPr>
            <w:r>
              <w:rPr>
                <w:rFonts w:ascii="宋体" w:hAnsi="宋体" w:eastAsia="宋体" w:cs="宋体"/>
                <w:b w:val="0"/>
              </w:rPr>
              <w:t xml:space="preserve"> 2025年6月30日</w:t>
            </w:r>
          </w:p>
        </w:tc>
        <w:tc>
          <w:tcPr>
            <w:tcW w:w="0" w:type="dxa"/>
            <w:vAlign w:val="center"/>
          </w:tcPr>
          <w:p w14:paraId="2496AC79">
            <w:pPr>
              <w:spacing w:line="240" w:lineRule="auto"/>
              <w:jc w:val="right"/>
            </w:pPr>
            <w:r>
              <w:rPr>
                <w:rFonts w:ascii="宋体" w:hAnsi="宋体" w:eastAsia="宋体" w:cs="宋体"/>
                <w:b w:val="0"/>
              </w:rPr>
              <w:t>200,038,500.00</w:t>
            </w:r>
          </w:p>
        </w:tc>
        <w:tc>
          <w:tcPr>
            <w:tcW w:w="0" w:type="dxa"/>
            <w:vAlign w:val="center"/>
          </w:tcPr>
          <w:p w14:paraId="5BE3EEA7">
            <w:pPr>
              <w:spacing w:line="240" w:lineRule="auto"/>
              <w:jc w:val="right"/>
            </w:pPr>
            <w:r>
              <w:rPr>
                <w:rFonts w:ascii="宋体" w:hAnsi="宋体" w:eastAsia="宋体" w:cs="宋体"/>
                <w:b w:val="0"/>
              </w:rPr>
              <w:t>-</w:t>
            </w:r>
          </w:p>
        </w:tc>
        <w:tc>
          <w:tcPr>
            <w:tcW w:w="0" w:type="dxa"/>
            <w:vAlign w:val="center"/>
          </w:tcPr>
          <w:p w14:paraId="364B48CE">
            <w:pPr>
              <w:spacing w:line="240" w:lineRule="auto"/>
              <w:jc w:val="right"/>
            </w:pPr>
            <w:r>
              <w:rPr>
                <w:rFonts w:ascii="宋体" w:hAnsi="宋体" w:eastAsia="宋体" w:cs="宋体"/>
                <w:b w:val="0"/>
              </w:rPr>
              <w:t>-</w:t>
            </w:r>
          </w:p>
        </w:tc>
        <w:tc>
          <w:tcPr>
            <w:tcW w:w="0" w:type="dxa"/>
            <w:vAlign w:val="center"/>
          </w:tcPr>
          <w:p w14:paraId="1805D02F">
            <w:pPr>
              <w:spacing w:line="240" w:lineRule="auto"/>
              <w:jc w:val="right"/>
            </w:pPr>
            <w:r>
              <w:rPr>
                <w:rFonts w:ascii="宋体" w:hAnsi="宋体" w:eastAsia="宋体" w:cs="宋体"/>
                <w:b w:val="0"/>
              </w:rPr>
              <w:t>200,038,500.00</w:t>
            </w:r>
          </w:p>
        </w:tc>
        <w:tc>
          <w:tcPr>
            <w:tcW w:w="0" w:type="dxa"/>
            <w:vAlign w:val="center"/>
          </w:tcPr>
          <w:p w14:paraId="3C0EB2CB">
            <w:pPr>
              <w:spacing w:line="240" w:lineRule="auto"/>
              <w:jc w:val="right"/>
            </w:pPr>
            <w:r>
              <w:rPr>
                <w:rFonts w:ascii="宋体" w:hAnsi="宋体" w:eastAsia="宋体" w:cs="宋体"/>
                <w:b w:val="0"/>
              </w:rPr>
              <w:t>30.91%</w:t>
            </w:r>
          </w:p>
        </w:tc>
      </w:tr>
      <w:tr w14:paraId="48742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vMerge w:val="continue"/>
          </w:tcPr>
          <w:p w14:paraId="77C6FD8F"/>
        </w:tc>
        <w:tc>
          <w:tcPr>
            <w:tcW w:w="0" w:type="dxa"/>
            <w:vAlign w:val="center"/>
          </w:tcPr>
          <w:p w14:paraId="7AC0C4CB">
            <w:pPr>
              <w:spacing w:line="240" w:lineRule="auto"/>
              <w:jc w:val="center"/>
            </w:pPr>
            <w:r>
              <w:rPr>
                <w:rFonts w:ascii="宋体" w:hAnsi="宋体" w:eastAsia="宋体" w:cs="宋体"/>
                <w:b w:val="0"/>
              </w:rPr>
              <w:t>2</w:t>
            </w:r>
          </w:p>
        </w:tc>
        <w:tc>
          <w:tcPr>
            <w:tcW w:w="0" w:type="dxa"/>
            <w:vAlign w:val="center"/>
          </w:tcPr>
          <w:p w14:paraId="7AE3B85D">
            <w:pPr>
              <w:spacing w:line="240" w:lineRule="auto"/>
              <w:jc w:val="center"/>
              <w:rPr>
                <w:rFonts w:ascii="宋体" w:hAnsi="宋体" w:eastAsia="宋体" w:cs="宋体"/>
                <w:b w:val="0"/>
              </w:rPr>
            </w:pPr>
            <w:r>
              <w:rPr>
                <w:rFonts w:ascii="宋体" w:hAnsi="宋体" w:eastAsia="宋体" w:cs="宋体"/>
                <w:b w:val="0"/>
              </w:rPr>
              <w:t xml:space="preserve">2025年4月1日- </w:t>
            </w:r>
          </w:p>
          <w:p w14:paraId="439ED396">
            <w:pPr>
              <w:spacing w:line="240" w:lineRule="auto"/>
              <w:jc w:val="center"/>
            </w:pPr>
            <w:bookmarkStart w:id="1" w:name="_GoBack"/>
            <w:bookmarkEnd w:id="1"/>
            <w:r>
              <w:rPr>
                <w:rFonts w:ascii="宋体" w:hAnsi="宋体" w:eastAsia="宋体" w:cs="宋体"/>
                <w:b w:val="0"/>
              </w:rPr>
              <w:t>2025年6月30日</w:t>
            </w:r>
          </w:p>
        </w:tc>
        <w:tc>
          <w:tcPr>
            <w:tcW w:w="0" w:type="dxa"/>
            <w:vAlign w:val="center"/>
          </w:tcPr>
          <w:p w14:paraId="325BBD28">
            <w:pPr>
              <w:spacing w:line="240" w:lineRule="auto"/>
              <w:jc w:val="right"/>
            </w:pPr>
            <w:r>
              <w:rPr>
                <w:rFonts w:ascii="宋体" w:hAnsi="宋体" w:eastAsia="宋体" w:cs="宋体"/>
                <w:b w:val="0"/>
              </w:rPr>
              <w:t>200,020,500.00</w:t>
            </w:r>
          </w:p>
        </w:tc>
        <w:tc>
          <w:tcPr>
            <w:tcW w:w="0" w:type="dxa"/>
            <w:vAlign w:val="center"/>
          </w:tcPr>
          <w:p w14:paraId="3383B1AB">
            <w:pPr>
              <w:spacing w:line="240" w:lineRule="auto"/>
              <w:jc w:val="right"/>
            </w:pPr>
            <w:r>
              <w:rPr>
                <w:rFonts w:ascii="宋体" w:hAnsi="宋体" w:eastAsia="宋体" w:cs="宋体"/>
                <w:b w:val="0"/>
              </w:rPr>
              <w:t>-</w:t>
            </w:r>
          </w:p>
        </w:tc>
        <w:tc>
          <w:tcPr>
            <w:tcW w:w="0" w:type="dxa"/>
            <w:vAlign w:val="center"/>
          </w:tcPr>
          <w:p w14:paraId="08EC28CC">
            <w:pPr>
              <w:spacing w:line="240" w:lineRule="auto"/>
              <w:jc w:val="right"/>
            </w:pPr>
            <w:r>
              <w:rPr>
                <w:rFonts w:ascii="宋体" w:hAnsi="宋体" w:eastAsia="宋体" w:cs="宋体"/>
                <w:b w:val="0"/>
              </w:rPr>
              <w:t>-</w:t>
            </w:r>
          </w:p>
        </w:tc>
        <w:tc>
          <w:tcPr>
            <w:tcW w:w="0" w:type="dxa"/>
            <w:vAlign w:val="center"/>
          </w:tcPr>
          <w:p w14:paraId="3550A800">
            <w:pPr>
              <w:spacing w:line="240" w:lineRule="auto"/>
              <w:jc w:val="right"/>
            </w:pPr>
            <w:r>
              <w:rPr>
                <w:rFonts w:ascii="宋体" w:hAnsi="宋体" w:eastAsia="宋体" w:cs="宋体"/>
                <w:b w:val="0"/>
              </w:rPr>
              <w:t>200,020,500.00</w:t>
            </w:r>
          </w:p>
        </w:tc>
        <w:tc>
          <w:tcPr>
            <w:tcW w:w="0" w:type="dxa"/>
            <w:vAlign w:val="center"/>
          </w:tcPr>
          <w:p w14:paraId="70D0BF40">
            <w:pPr>
              <w:spacing w:line="240" w:lineRule="auto"/>
              <w:jc w:val="right"/>
            </w:pPr>
            <w:r>
              <w:rPr>
                <w:rFonts w:ascii="宋体" w:hAnsi="宋体" w:eastAsia="宋体" w:cs="宋体"/>
                <w:b w:val="0"/>
              </w:rPr>
              <w:t>30.90%</w:t>
            </w:r>
          </w:p>
        </w:tc>
      </w:tr>
      <w:tr w14:paraId="667C2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gridSpan w:val="8"/>
          </w:tcPr>
          <w:p w14:paraId="5670D1C9">
            <w:pPr>
              <w:spacing w:line="240" w:lineRule="auto"/>
              <w:jc w:val="center"/>
            </w:pPr>
            <w:r>
              <w:rPr>
                <w:rFonts w:ascii="宋体" w:hAnsi="宋体" w:eastAsia="宋体" w:cs="宋体"/>
                <w:b w:val="0"/>
              </w:rPr>
              <w:t>产品特有风险</w:t>
            </w:r>
          </w:p>
        </w:tc>
      </w:tr>
      <w:tr w14:paraId="5AD57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gridSpan w:val="8"/>
          </w:tcPr>
          <w:p w14:paraId="5200EE8A">
            <w:pPr>
              <w:spacing w:line="240" w:lineRule="auto"/>
              <w:jc w:val="left"/>
            </w:pPr>
            <w:r>
              <w:rPr>
                <w:rFonts w:ascii="宋体" w:hAnsi="宋体" w:eastAsia="宋体" w:cs="宋体"/>
                <w:b w:val="0"/>
              </w:rPr>
              <w:t xml:space="preserve">    基金管理人秉承谨慎勤勉、独立决策、规范运作、充分披露原则，公平对待投资者，保障投资者合法权益。当单一投资者持有基金份额比例达到或超过20%时，由此可能导致的特有风险主要包括：</w:t>
            </w:r>
            <w:r>
              <w:rPr>
                <w:rFonts w:ascii="宋体" w:hAnsi="宋体" w:eastAsia="宋体" w:cs="宋体"/>
                <w:b w:val="0"/>
              </w:rPr>
              <w:br w:type="textWrapping"/>
            </w:r>
            <w:r>
              <w:rPr>
                <w:rFonts w:ascii="宋体" w:hAnsi="宋体" w:eastAsia="宋体" w:cs="宋体"/>
                <w:b w:val="0"/>
              </w:rPr>
              <w:t xml:space="preserve">    1、本基金单一投资者所持有的基金份额占比较大，单一投资者的巨额赎回，可能导致基金管理人被迫抛售证券以应付基金赎回的现金需要，对本基金的投资运作及净值表现产生较大影响。</w:t>
            </w:r>
            <w:r>
              <w:rPr>
                <w:rFonts w:ascii="宋体" w:hAnsi="宋体" w:eastAsia="宋体" w:cs="宋体"/>
                <w:b w:val="0"/>
              </w:rPr>
              <w:br w:type="textWrapping"/>
            </w:r>
            <w:r>
              <w:rPr>
                <w:rFonts w:ascii="宋体" w:hAnsi="宋体" w:eastAsia="宋体" w:cs="宋体"/>
                <w:b w:val="0"/>
              </w:rPr>
              <w:t xml:space="preserve">    2、持有基金份额占比较高的投资者大额赎回时容易造成本基金发生巨额赎回。在发生巨额赎回情形时，在符合基金合同约定情况下，如基金管理人认为有必要，可延期办理本基金的赎回申请，投资者可能面临赎回申请被延期办理的风险；如果连续2个开放日以上（含）发生巨额赎回，基金管理人可能根据《基金合同》的约定暂停接受基金的赎回申请，对剩余投资者的赎回办理造成影响。</w:t>
            </w:r>
            <w:r>
              <w:rPr>
                <w:rFonts w:ascii="宋体" w:hAnsi="宋体" w:eastAsia="宋体" w:cs="宋体"/>
                <w:b w:val="0"/>
              </w:rPr>
              <w:br w:type="textWrapping"/>
            </w:r>
            <w:r>
              <w:rPr>
                <w:rFonts w:ascii="宋体" w:hAnsi="宋体" w:eastAsia="宋体" w:cs="宋体"/>
                <w:b w:val="0"/>
              </w:rPr>
              <w:t xml:space="preserve">    3、单一投资者巨额赎回可能导致本基金在短时间内无法变现足够的资产予以应对，可能会导致基金仓位调整困难，发生流动性风险。</w:t>
            </w:r>
            <w:r>
              <w:rPr>
                <w:rFonts w:ascii="宋体" w:hAnsi="宋体" w:eastAsia="宋体" w:cs="宋体"/>
                <w:b w:val="0"/>
              </w:rPr>
              <w:br w:type="textWrapping"/>
            </w:r>
            <w:r>
              <w:rPr>
                <w:rFonts w:ascii="宋体" w:hAnsi="宋体" w:eastAsia="宋体" w:cs="宋体"/>
                <w:b w:val="0"/>
              </w:rPr>
              <w:t xml:space="preserve">    4、持有基金份额占比较高的投资者在召开基金份额持有人大会并对重大事项进行投票表决时，可能拥有较大话语权。</w:t>
            </w:r>
            <w:r>
              <w:rPr>
                <w:rFonts w:ascii="宋体" w:hAnsi="宋体" w:eastAsia="宋体" w:cs="宋体"/>
                <w:b w:val="0"/>
              </w:rPr>
              <w:br w:type="textWrapping"/>
            </w:r>
            <w:r>
              <w:rPr>
                <w:rFonts w:ascii="宋体" w:hAnsi="宋体" w:eastAsia="宋体" w:cs="宋体"/>
                <w:b w:val="0"/>
              </w:rPr>
              <w:t xml:space="preserve">    5、超出基金管理人允许的单一投资者持有基金份额比例的申购申请不被确认的风险。</w:t>
            </w:r>
          </w:p>
        </w:tc>
      </w:tr>
    </w:tbl>
    <w:p w14:paraId="2118D714"/>
    <w:p w14:paraId="0753D889">
      <w:pPr>
        <w:pStyle w:val="3"/>
        <w:jc w:val="left"/>
      </w:pPr>
      <w:r>
        <w:rPr>
          <w:rFonts w:ascii="宋体" w:hAnsi="宋体" w:eastAsia="宋体" w:cs="宋体"/>
        </w:rPr>
        <w:t>8.2 影响投资者决策的其他重要信息</w:t>
      </w:r>
    </w:p>
    <w:p w14:paraId="5E18B7E5">
      <w:r>
        <w:rPr>
          <w:rFonts w:ascii="宋体" w:hAnsi="宋体" w:eastAsia="宋体" w:cs="宋体"/>
          <w:b w:val="0"/>
        </w:rPr>
        <w:t xml:space="preserve">    无。</w:t>
      </w:r>
    </w:p>
    <w:p w14:paraId="078E2980">
      <w:pPr>
        <w:pStyle w:val="2"/>
        <w:jc w:val="center"/>
      </w:pPr>
      <w:r>
        <w:rPr>
          <w:rFonts w:ascii="宋体" w:hAnsi="宋体" w:eastAsia="宋体" w:cs="宋体"/>
        </w:rPr>
        <w:t>§9 备查文件目录</w:t>
      </w:r>
    </w:p>
    <w:p w14:paraId="39A81089">
      <w:pPr>
        <w:pStyle w:val="3"/>
        <w:jc w:val="left"/>
      </w:pPr>
      <w:r>
        <w:rPr>
          <w:rFonts w:ascii="宋体" w:hAnsi="宋体" w:eastAsia="宋体" w:cs="宋体"/>
        </w:rPr>
        <w:t>9.1 备查文件目录</w:t>
      </w:r>
    </w:p>
    <w:p w14:paraId="4F60610E">
      <w:r>
        <w:rPr>
          <w:rFonts w:ascii="宋体" w:hAnsi="宋体" w:eastAsia="宋体" w:cs="宋体"/>
          <w:b w:val="0"/>
        </w:rPr>
        <w:t xml:space="preserve">    1、中国证券监督管理委员会批准的东方阿尔法招阳混合型证券投资基金设立的文件；</w:t>
      </w:r>
      <w:r>
        <w:rPr>
          <w:rFonts w:ascii="宋体" w:hAnsi="宋体" w:eastAsia="宋体" w:cs="宋体"/>
          <w:b w:val="0"/>
        </w:rPr>
        <w:cr/>
      </w:r>
      <w:r>
        <w:rPr>
          <w:rFonts w:ascii="宋体" w:hAnsi="宋体" w:eastAsia="宋体" w:cs="宋体"/>
          <w:b w:val="0"/>
        </w:rPr>
        <w:t xml:space="preserve">    2、《东方阿尔法招阳混合型证券投资基金基金合同》；</w:t>
      </w:r>
      <w:r>
        <w:rPr>
          <w:rFonts w:ascii="宋体" w:hAnsi="宋体" w:eastAsia="宋体" w:cs="宋体"/>
          <w:b w:val="0"/>
        </w:rPr>
        <w:cr/>
      </w:r>
      <w:r>
        <w:rPr>
          <w:rFonts w:ascii="宋体" w:hAnsi="宋体" w:eastAsia="宋体" w:cs="宋体"/>
          <w:b w:val="0"/>
        </w:rPr>
        <w:t xml:space="preserve">    3、《东方阿尔法招阳混合型证券投资基金托管协议》；</w:t>
      </w:r>
      <w:r>
        <w:rPr>
          <w:rFonts w:ascii="宋体" w:hAnsi="宋体" w:eastAsia="宋体" w:cs="宋体"/>
          <w:b w:val="0"/>
        </w:rPr>
        <w:cr/>
      </w:r>
      <w:r>
        <w:rPr>
          <w:rFonts w:ascii="宋体" w:hAnsi="宋体" w:eastAsia="宋体" w:cs="宋体"/>
          <w:b w:val="0"/>
        </w:rPr>
        <w:t xml:space="preserve">    4、《东方阿尔法招阳混合型证券投资基金招募说明书》（含更新）；</w:t>
      </w:r>
      <w:r>
        <w:rPr>
          <w:rFonts w:ascii="宋体" w:hAnsi="宋体" w:eastAsia="宋体" w:cs="宋体"/>
          <w:b w:val="0"/>
        </w:rPr>
        <w:cr/>
      </w:r>
      <w:r>
        <w:rPr>
          <w:rFonts w:ascii="宋体" w:hAnsi="宋体" w:eastAsia="宋体" w:cs="宋体"/>
          <w:b w:val="0"/>
        </w:rPr>
        <w:t xml:space="preserve">    5、基金管理人业务资格批件和营业执照。</w:t>
      </w:r>
    </w:p>
    <w:p w14:paraId="6DD69AE1"/>
    <w:p w14:paraId="7FEC5081">
      <w:pPr>
        <w:pStyle w:val="3"/>
        <w:jc w:val="left"/>
      </w:pPr>
      <w:r>
        <w:rPr>
          <w:rFonts w:ascii="宋体" w:hAnsi="宋体" w:eastAsia="宋体" w:cs="宋体"/>
        </w:rPr>
        <w:t>9.2 存放地点</w:t>
      </w:r>
    </w:p>
    <w:p w14:paraId="07B498A5">
      <w:r>
        <w:rPr>
          <w:rFonts w:ascii="宋体" w:hAnsi="宋体" w:eastAsia="宋体" w:cs="宋体"/>
          <w:b w:val="0"/>
        </w:rPr>
        <w:t xml:space="preserve">    基金管理人和基金托管人的住所。</w:t>
      </w:r>
    </w:p>
    <w:p w14:paraId="0516C2DB"/>
    <w:p w14:paraId="20D6A050">
      <w:pPr>
        <w:pStyle w:val="3"/>
        <w:jc w:val="left"/>
      </w:pPr>
      <w:r>
        <w:rPr>
          <w:rFonts w:ascii="宋体" w:hAnsi="宋体" w:eastAsia="宋体" w:cs="宋体"/>
        </w:rPr>
        <w:t>9.3 查阅方式</w:t>
      </w:r>
    </w:p>
    <w:p w14:paraId="3E6C0EE3">
      <w:r>
        <w:rPr>
          <w:rFonts w:ascii="宋体" w:hAnsi="宋体" w:eastAsia="宋体" w:cs="宋体"/>
          <w:b w:val="0"/>
        </w:rPr>
        <w:t xml:space="preserve">    1、投资者可在营业时间免费查阅，也可按工本费购买复印件。</w:t>
      </w:r>
      <w:r>
        <w:rPr>
          <w:rFonts w:ascii="宋体" w:hAnsi="宋体" w:eastAsia="宋体" w:cs="宋体"/>
          <w:b w:val="0"/>
        </w:rPr>
        <w:cr/>
      </w:r>
      <w:r>
        <w:rPr>
          <w:rFonts w:ascii="宋体" w:hAnsi="宋体" w:eastAsia="宋体" w:cs="宋体"/>
          <w:b w:val="0"/>
        </w:rPr>
        <w:t xml:space="preserve">    2、投资者对本报告书如有疑问，可咨询本基金管理人东方阿尔法基金管理有限公司，客户服务电话：400-930-6677（免长途话费）。</w:t>
      </w:r>
      <w:r>
        <w:rPr>
          <w:rFonts w:ascii="宋体" w:hAnsi="宋体" w:eastAsia="宋体" w:cs="宋体"/>
          <w:b w:val="0"/>
        </w:rPr>
        <w:cr/>
      </w:r>
      <w:r>
        <w:rPr>
          <w:rFonts w:ascii="宋体" w:hAnsi="宋体" w:eastAsia="宋体" w:cs="宋体"/>
          <w:b w:val="0"/>
        </w:rPr>
        <w:t xml:space="preserve">    3、投资者可通过中国证监会基金电子披露网站（http://eid.csrc.gov.cn/fund/）和基金管理人网站（https://www.dfa66.com）查阅本报告书。</w:t>
      </w:r>
    </w:p>
    <w:p w14:paraId="22C4DA48"/>
    <w:p w14:paraId="3EB20038"/>
    <w:p w14:paraId="1DE22FF5"/>
    <w:p w14:paraId="2B44D47C">
      <w:pPr>
        <w:jc w:val="right"/>
      </w:pPr>
      <w:r>
        <w:rPr>
          <w:rFonts w:ascii="宋体" w:hAnsi="宋体" w:eastAsia="宋体" w:cs="宋体"/>
          <w:b/>
        </w:rPr>
        <w:t>东方阿尔法基金管理有限公司</w:t>
      </w:r>
    </w:p>
    <w:p w14:paraId="65C6652E">
      <w:pPr>
        <w:jc w:val="right"/>
      </w:pPr>
      <w:r>
        <w:rPr>
          <w:rFonts w:ascii="宋体" w:hAnsi="宋体" w:eastAsia="宋体" w:cs="宋体"/>
          <w:b/>
        </w:rPr>
        <w:t>二〇二五年七月十九日</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418" w:bottom="1440" w:left="1418" w:header="851" w:footer="992" w:gutter="0"/>
      <w:pgNumType w:start="0"/>
      <w:cols w:space="425"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910235">
    <w:pPr>
      <w:pBdr>
        <w:top w:val="single" w:color="auto" w:sz="2" w:space="0"/>
      </w:pBdr>
      <w:tabs>
        <w:tab w:val="right" w:pos="8640"/>
      </w:tabs>
      <w:jc w:val="center"/>
      <w:textAlignment w:val="center"/>
      <w:rPr>
        <w:rFonts w:ascii="宋体" w:hAnsi="宋体" w:eastAsia="宋体"/>
        <w:sz w:val="20"/>
        <w:szCs w:val="20"/>
      </w:rPr>
    </w:pPr>
    <w:r>
      <w:rPr>
        <w:rFonts w:hint="eastAsia" w:ascii="宋体" w:hAnsi="宋体" w:eastAsia="宋体" w:cs="宋体"/>
        <w:sz w:val="20"/>
        <w:szCs w:val="20"/>
        <w:lang w:bidi="ar"/>
      </w:rPr>
      <w:t>第</w:t>
    </w:r>
    <w:r>
      <w:rPr>
        <w:rFonts w:hint="eastAsia" w:ascii="宋体" w:hAnsi="宋体" w:eastAsia="宋体" w:cs="Times New Roman"/>
        <w:sz w:val="20"/>
        <w:szCs w:val="20"/>
        <w:lang w:bidi="ar"/>
      </w:rPr>
      <w:fldChar w:fldCharType="begin"/>
    </w:r>
    <w:r>
      <w:rPr>
        <w:rFonts w:hint="eastAsia" w:ascii="宋体" w:hAnsi="宋体" w:eastAsia="宋体" w:cs="宋体"/>
        <w:sz w:val="20"/>
        <w:szCs w:val="20"/>
        <w:lang w:bidi="ar"/>
      </w:rPr>
      <w:instrText xml:space="preserve">PAGE  \* MERGEFORMAT</w:instrText>
    </w:r>
    <w:r>
      <w:rPr>
        <w:rFonts w:hint="eastAsia" w:ascii="宋体" w:hAnsi="宋体" w:eastAsia="宋体" w:cs="Times New Roman"/>
        <w:sz w:val="20"/>
        <w:szCs w:val="20"/>
        <w:lang w:bidi="ar"/>
      </w:rPr>
      <w:fldChar w:fldCharType="separate"/>
    </w:r>
    <w:r>
      <w:rPr>
        <w:rFonts w:ascii="宋体" w:hAnsi="宋体" w:eastAsia="宋体" w:cs="宋体"/>
        <w:sz w:val="20"/>
        <w:szCs w:val="20"/>
        <w:lang w:bidi="ar"/>
      </w:rPr>
      <w:t>2</w:t>
    </w:r>
    <w:r>
      <w:rPr>
        <w:rFonts w:hint="eastAsia" w:ascii="宋体" w:hAnsi="宋体" w:eastAsia="宋体" w:cs="宋体"/>
        <w:sz w:val="20"/>
        <w:szCs w:val="20"/>
        <w:lang w:bidi="ar"/>
      </w:rPr>
      <w:fldChar w:fldCharType="end"/>
    </w:r>
    <w:r>
      <w:rPr>
        <w:rFonts w:hint="eastAsia" w:ascii="宋体" w:hAnsi="宋体" w:eastAsia="宋体" w:cs="宋体"/>
        <w:sz w:val="20"/>
        <w:szCs w:val="20"/>
        <w:lang w:bidi="ar"/>
      </w:rPr>
      <w:t>页，共</w:t>
    </w:r>
    <w:r>
      <w:rPr>
        <w:rFonts w:hint="eastAsia" w:ascii="宋体" w:hAnsi="宋体" w:eastAsia="宋体" w:cs="Times New Roman"/>
        <w:sz w:val="20"/>
        <w:szCs w:val="20"/>
        <w:lang w:bidi="ar"/>
      </w:rPr>
      <w:fldChar w:fldCharType="begin"/>
    </w:r>
    <w:r>
      <w:rPr>
        <w:rFonts w:ascii="宋体" w:hAnsi="宋体" w:eastAsia="宋体" w:cs="Times New Roman"/>
        <w:sz w:val="20"/>
        <w:szCs w:val="20"/>
        <w:lang w:bidi="ar"/>
      </w:rPr>
      <w:instrText xml:space="preserve">=</w:instrText>
    </w:r>
    <w:r>
      <w:rPr>
        <w:rFonts w:ascii="宋体" w:hAnsi="宋体" w:eastAsia="宋体" w:cs="宋体"/>
        <w:sz w:val="20"/>
        <w:szCs w:val="20"/>
        <w:lang w:bidi="ar"/>
      </w:rPr>
      <w:fldChar w:fldCharType="begin"/>
    </w:r>
    <w:r>
      <w:rPr>
        <w:rFonts w:ascii="宋体" w:hAnsi="宋体" w:eastAsia="宋体" w:cs="宋体"/>
        <w:sz w:val="20"/>
        <w:szCs w:val="20"/>
        <w:lang w:bidi="ar"/>
      </w:rPr>
      <w:instrText xml:space="preserve"> </w:instrText>
    </w:r>
    <w:r>
      <w:rPr>
        <w:rFonts w:hint="eastAsia" w:ascii="宋体" w:hAnsi="宋体" w:eastAsia="宋体" w:cs="宋体"/>
        <w:sz w:val="20"/>
        <w:szCs w:val="20"/>
        <w:lang w:bidi="ar"/>
      </w:rPr>
      <w:instrText xml:space="preserve">NUMPAGES</w:instrText>
    </w:r>
    <w:r>
      <w:rPr>
        <w:rFonts w:ascii="宋体" w:hAnsi="宋体" w:eastAsia="宋体" w:cs="宋体"/>
        <w:sz w:val="20"/>
        <w:szCs w:val="20"/>
        <w:lang w:bidi="ar"/>
      </w:rPr>
      <w:instrText xml:space="preserve"> </w:instrText>
    </w:r>
    <w:r>
      <w:rPr>
        <w:rFonts w:ascii="宋体" w:hAnsi="宋体" w:eastAsia="宋体" w:cs="宋体"/>
        <w:sz w:val="20"/>
        <w:szCs w:val="20"/>
        <w:lang w:bidi="ar"/>
      </w:rPr>
      <w:fldChar w:fldCharType="separate"/>
    </w:r>
    <w:r>
      <w:rPr>
        <w:rFonts w:ascii="宋体" w:hAnsi="宋体" w:eastAsia="宋体" w:cs="宋体"/>
        <w:sz w:val="20"/>
        <w:szCs w:val="20"/>
        <w:lang w:bidi="ar"/>
      </w:rPr>
      <w:instrText xml:space="preserve">2</w:instrText>
    </w:r>
    <w:r>
      <w:rPr>
        <w:rFonts w:ascii="宋体" w:hAnsi="宋体" w:eastAsia="宋体" w:cs="宋体"/>
        <w:sz w:val="20"/>
        <w:szCs w:val="20"/>
        <w:lang w:bidi="ar"/>
      </w:rPr>
      <w:fldChar w:fldCharType="end"/>
    </w:r>
    <w:r>
      <w:rPr>
        <w:rFonts w:ascii="宋体" w:hAnsi="宋体" w:eastAsia="宋体" w:cs="宋体"/>
        <w:sz w:val="20"/>
        <w:szCs w:val="20"/>
        <w:lang w:bidi="ar"/>
      </w:rPr>
      <w:instrText xml:space="preserve">-1</w:instrText>
    </w:r>
    <w:r>
      <w:rPr>
        <w:rFonts w:hint="eastAsia" w:ascii="宋体" w:hAnsi="宋体" w:eastAsia="宋体" w:cs="Times New Roman"/>
        <w:sz w:val="20"/>
        <w:szCs w:val="20"/>
        <w:lang w:bidi="ar"/>
      </w:rPr>
      <w:fldChar w:fldCharType="separate"/>
    </w:r>
    <w:r>
      <w:rPr>
        <w:rFonts w:ascii="宋体" w:hAnsi="宋体" w:eastAsia="宋体" w:cs="Times New Roman"/>
        <w:sz w:val="20"/>
        <w:szCs w:val="20"/>
        <w:lang w:bidi="ar"/>
      </w:rPr>
      <w:t>1</w:t>
    </w:r>
    <w:r>
      <w:rPr>
        <w:rFonts w:hint="eastAsia" w:ascii="宋体" w:hAnsi="宋体" w:eastAsia="宋体" w:cs="宋体"/>
        <w:sz w:val="20"/>
        <w:szCs w:val="20"/>
        <w:lang w:bidi="ar"/>
      </w:rPr>
      <w:fldChar w:fldCharType="end"/>
    </w:r>
    <w:r>
      <w:rPr>
        <w:rFonts w:hint="eastAsia" w:ascii="宋体" w:hAnsi="宋体" w:eastAsia="宋体" w:cs="宋体"/>
        <w:sz w:val="20"/>
        <w:szCs w:val="20"/>
        <w:lang w:bidi="ar"/>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C36F2E">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604EC9">
    <w:pPr>
      <w:pStyle w:val="1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88" w:lineRule="auto"/>
      </w:pPr>
      <w:r>
        <w:separator/>
      </w:r>
    </w:p>
  </w:footnote>
  <w:footnote w:type="continuationSeparator" w:id="1">
    <w:p>
      <w:pPr>
        <w:spacing w:line="288"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998A64">
    <w:pPr>
      <w:pBdr>
        <w:bottom w:val="single" w:color="auto" w:sz="4" w:space="1"/>
      </w:pBdr>
      <w:jc w:val="right"/>
      <w:rPr>
        <w:rFonts w:ascii="宋体" w:hAnsi="宋体" w:eastAsia="宋体"/>
      </w:rPr>
    </w:pPr>
    <w:r>
      <w:rPr>
        <w:rFonts w:hint="eastAsia" w:ascii="宋体" w:hAnsi="宋体" w:eastAsia="宋体"/>
        <w:sz w:val="18"/>
      </w:rPr>
      <w:t>东方阿尔法招阳混合型证券投资基金2025年第2季度报告</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3BB55B"/>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34E7E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14F1"/>
    <w:rsid w:val="00031D8B"/>
    <w:rsid w:val="00033BEA"/>
    <w:rsid w:val="00093312"/>
    <w:rsid w:val="000934BF"/>
    <w:rsid w:val="000B0ABB"/>
    <w:rsid w:val="000B14F1"/>
    <w:rsid w:val="000D44F1"/>
    <w:rsid w:val="000F65E0"/>
    <w:rsid w:val="001567AA"/>
    <w:rsid w:val="001663E4"/>
    <w:rsid w:val="001941F0"/>
    <w:rsid w:val="001A0694"/>
    <w:rsid w:val="001A6F82"/>
    <w:rsid w:val="001E49DE"/>
    <w:rsid w:val="001E604E"/>
    <w:rsid w:val="001E72DB"/>
    <w:rsid w:val="00210325"/>
    <w:rsid w:val="00217CEB"/>
    <w:rsid w:val="0026022A"/>
    <w:rsid w:val="00294812"/>
    <w:rsid w:val="002C6A0C"/>
    <w:rsid w:val="002D4665"/>
    <w:rsid w:val="00315609"/>
    <w:rsid w:val="00324653"/>
    <w:rsid w:val="0039693D"/>
    <w:rsid w:val="00396EB6"/>
    <w:rsid w:val="003B4810"/>
    <w:rsid w:val="00421707"/>
    <w:rsid w:val="004245F7"/>
    <w:rsid w:val="00435171"/>
    <w:rsid w:val="0048630B"/>
    <w:rsid w:val="004A5321"/>
    <w:rsid w:val="004F33D8"/>
    <w:rsid w:val="004F7772"/>
    <w:rsid w:val="005037A9"/>
    <w:rsid w:val="00514F66"/>
    <w:rsid w:val="00536F98"/>
    <w:rsid w:val="005370B1"/>
    <w:rsid w:val="0054091C"/>
    <w:rsid w:val="005826D5"/>
    <w:rsid w:val="005B565C"/>
    <w:rsid w:val="005D1F67"/>
    <w:rsid w:val="00657345"/>
    <w:rsid w:val="00686AE6"/>
    <w:rsid w:val="006935A0"/>
    <w:rsid w:val="00695511"/>
    <w:rsid w:val="006C560C"/>
    <w:rsid w:val="007A3B64"/>
    <w:rsid w:val="007B3AFF"/>
    <w:rsid w:val="007F3D78"/>
    <w:rsid w:val="00801225"/>
    <w:rsid w:val="00832DA1"/>
    <w:rsid w:val="008432E9"/>
    <w:rsid w:val="008F2779"/>
    <w:rsid w:val="00917A48"/>
    <w:rsid w:val="0092608A"/>
    <w:rsid w:val="00931CFE"/>
    <w:rsid w:val="009A04DF"/>
    <w:rsid w:val="009A27BD"/>
    <w:rsid w:val="009C2384"/>
    <w:rsid w:val="009C68F3"/>
    <w:rsid w:val="009F43BC"/>
    <w:rsid w:val="00A53CFE"/>
    <w:rsid w:val="00A76644"/>
    <w:rsid w:val="00AB695A"/>
    <w:rsid w:val="00B02205"/>
    <w:rsid w:val="00B659D3"/>
    <w:rsid w:val="00BA1D2B"/>
    <w:rsid w:val="00BB3931"/>
    <w:rsid w:val="00BB5499"/>
    <w:rsid w:val="00BD2190"/>
    <w:rsid w:val="00C05CA1"/>
    <w:rsid w:val="00C06BEF"/>
    <w:rsid w:val="00C1377F"/>
    <w:rsid w:val="00C370BD"/>
    <w:rsid w:val="00C86ED5"/>
    <w:rsid w:val="00CA50CC"/>
    <w:rsid w:val="00CF2DE6"/>
    <w:rsid w:val="00D155B6"/>
    <w:rsid w:val="00D91EBF"/>
    <w:rsid w:val="00DB110D"/>
    <w:rsid w:val="00DE3FE0"/>
    <w:rsid w:val="00E220FA"/>
    <w:rsid w:val="00E44EAD"/>
    <w:rsid w:val="00E6731E"/>
    <w:rsid w:val="00E67AEA"/>
    <w:rsid w:val="00E913D3"/>
    <w:rsid w:val="00EC2CEF"/>
    <w:rsid w:val="00EE18AB"/>
    <w:rsid w:val="00F07C93"/>
    <w:rsid w:val="00F1496B"/>
    <w:rsid w:val="00F32DCB"/>
    <w:rsid w:val="00FA0949"/>
    <w:rsid w:val="00FA22F7"/>
    <w:rsid w:val="00FA6399"/>
    <w:rsid w:val="00FE53D3"/>
    <w:rsid w:val="17FF4F08"/>
    <w:rsid w:val="312016A7"/>
    <w:rsid w:val="328572ED"/>
    <w:rsid w:val="3E9A1429"/>
    <w:rsid w:val="5EE34946"/>
    <w:rsid w:val="62671060"/>
    <w:rsid w:val="64D30071"/>
    <w:rsid w:val="67517C74"/>
    <w:rsid w:val="791E22E2"/>
    <w:rsid w:val="7A382AC9"/>
    <w:rsid w:val="7F246E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qFormat="1"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qFormat="1" w:uiPriority="61"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88" w:lineRule="auto"/>
      <w:jc w:val="both"/>
    </w:pPr>
    <w:rPr>
      <w:rFonts w:eastAsia="宋体" w:asciiTheme="minorHAnsi" w:hAnsiTheme="minorHAnsi" w:cstheme="minorBidi"/>
      <w:kern w:val="2"/>
      <w:sz w:val="21"/>
      <w:szCs w:val="21"/>
      <w:lang w:val="en-US" w:eastAsia="zh-CN" w:bidi="ar-SA"/>
    </w:rPr>
  </w:style>
  <w:style w:type="paragraph" w:styleId="2">
    <w:name w:val="heading 1"/>
    <w:basedOn w:val="1"/>
    <w:next w:val="1"/>
    <w:link w:val="37"/>
    <w:qFormat/>
    <w:uiPriority w:val="9"/>
    <w:pPr>
      <w:spacing w:before="340" w:after="330" w:line="576" w:lineRule="auto"/>
      <w:jc w:val="center"/>
      <w:outlineLvl w:val="0"/>
    </w:pPr>
    <w:rPr>
      <w:b/>
      <w:bCs/>
      <w:kern w:val="44"/>
      <w:sz w:val="24"/>
      <w:szCs w:val="44"/>
    </w:rPr>
  </w:style>
  <w:style w:type="paragraph" w:styleId="3">
    <w:name w:val="heading 2"/>
    <w:basedOn w:val="1"/>
    <w:next w:val="1"/>
    <w:link w:val="38"/>
    <w:unhideWhenUsed/>
    <w:qFormat/>
    <w:uiPriority w:val="9"/>
    <w:pPr>
      <w:adjustRightInd w:val="0"/>
      <w:spacing w:line="360" w:lineRule="auto"/>
      <w:jc w:val="left"/>
      <w:outlineLvl w:val="1"/>
    </w:pPr>
    <w:rPr>
      <w:rFonts w:asciiTheme="majorHAnsi" w:hAnsiTheme="majorHAnsi" w:cstheme="majorBidi"/>
      <w:b/>
      <w:bCs/>
      <w:sz w:val="24"/>
      <w:szCs w:val="32"/>
    </w:rPr>
  </w:style>
  <w:style w:type="paragraph" w:styleId="4">
    <w:name w:val="heading 3"/>
    <w:basedOn w:val="1"/>
    <w:next w:val="1"/>
    <w:link w:val="39"/>
    <w:unhideWhenUsed/>
    <w:qFormat/>
    <w:uiPriority w:val="9"/>
    <w:pPr>
      <w:keepNext/>
      <w:keepLines/>
      <w:spacing w:line="360" w:lineRule="auto"/>
      <w:outlineLvl w:val="2"/>
    </w:pPr>
    <w:rPr>
      <w:b/>
      <w:bCs/>
      <w:sz w:val="24"/>
      <w:szCs w:val="32"/>
    </w:rPr>
  </w:style>
  <w:style w:type="paragraph" w:styleId="5">
    <w:name w:val="heading 4"/>
    <w:basedOn w:val="1"/>
    <w:next w:val="1"/>
    <w:link w:val="40"/>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30">
    <w:name w:val="Default Paragraph Font"/>
    <w:semiHidden/>
    <w:unhideWhenUsed/>
    <w:qFormat/>
    <w:uiPriority w:val="1"/>
  </w:style>
  <w:style w:type="table" w:default="1" w:styleId="27">
    <w:name w:val="Normal Table"/>
    <w:semiHidden/>
    <w:unhideWhenUsed/>
    <w:uiPriority w:val="99"/>
    <w:tblPr>
      <w:tblCellMar>
        <w:top w:w="0" w:type="dxa"/>
        <w:left w:w="108" w:type="dxa"/>
        <w:bottom w:w="0" w:type="dxa"/>
        <w:right w:w="108" w:type="dxa"/>
      </w:tblCellMar>
    </w:tblPr>
  </w:style>
  <w:style w:type="paragraph" w:styleId="6">
    <w:name w:val="toc 7"/>
    <w:basedOn w:val="1"/>
    <w:next w:val="1"/>
    <w:autoRedefine/>
    <w:unhideWhenUsed/>
    <w:qFormat/>
    <w:uiPriority w:val="39"/>
    <w:pPr>
      <w:ind w:left="1260"/>
      <w:jc w:val="left"/>
    </w:pPr>
    <w:rPr>
      <w:sz w:val="18"/>
      <w:szCs w:val="18"/>
    </w:rPr>
  </w:style>
  <w:style w:type="paragraph" w:styleId="7">
    <w:name w:val="Normal Indent"/>
    <w:basedOn w:val="1"/>
    <w:link w:val="41"/>
    <w:semiHidden/>
    <w:unhideWhenUsed/>
    <w:qFormat/>
    <w:uiPriority w:val="99"/>
    <w:pPr>
      <w:ind w:firstLine="420" w:firstLineChars="200"/>
    </w:pPr>
  </w:style>
  <w:style w:type="paragraph" w:styleId="8">
    <w:name w:val="Document Map"/>
    <w:basedOn w:val="1"/>
    <w:link w:val="57"/>
    <w:semiHidden/>
    <w:unhideWhenUsed/>
    <w:qFormat/>
    <w:uiPriority w:val="99"/>
    <w:rPr>
      <w:rFonts w:ascii="宋体"/>
      <w:sz w:val="18"/>
      <w:szCs w:val="18"/>
    </w:rPr>
  </w:style>
  <w:style w:type="paragraph" w:styleId="9">
    <w:name w:val="annotation text"/>
    <w:basedOn w:val="1"/>
    <w:link w:val="42"/>
    <w:semiHidden/>
    <w:unhideWhenUsed/>
    <w:qFormat/>
    <w:uiPriority w:val="99"/>
    <w:pPr>
      <w:jc w:val="left"/>
    </w:pPr>
  </w:style>
  <w:style w:type="paragraph" w:styleId="10">
    <w:name w:val="Body Text"/>
    <w:basedOn w:val="1"/>
    <w:link w:val="45"/>
    <w:semiHidden/>
    <w:unhideWhenUsed/>
    <w:qFormat/>
    <w:uiPriority w:val="99"/>
    <w:pPr>
      <w:spacing w:after="120"/>
    </w:pPr>
  </w:style>
  <w:style w:type="paragraph" w:styleId="11">
    <w:name w:val="toc 5"/>
    <w:basedOn w:val="1"/>
    <w:next w:val="1"/>
    <w:autoRedefine/>
    <w:unhideWhenUsed/>
    <w:qFormat/>
    <w:uiPriority w:val="39"/>
    <w:pPr>
      <w:ind w:left="840"/>
      <w:jc w:val="left"/>
    </w:pPr>
    <w:rPr>
      <w:sz w:val="18"/>
      <w:szCs w:val="18"/>
    </w:rPr>
  </w:style>
  <w:style w:type="paragraph" w:styleId="12">
    <w:name w:val="toc 3"/>
    <w:basedOn w:val="1"/>
    <w:next w:val="1"/>
    <w:autoRedefine/>
    <w:unhideWhenUsed/>
    <w:qFormat/>
    <w:uiPriority w:val="39"/>
    <w:pPr>
      <w:spacing w:line="240" w:lineRule="auto"/>
      <w:ind w:left="420"/>
      <w:jc w:val="left"/>
    </w:pPr>
    <w:rPr>
      <w:i/>
      <w:iCs/>
      <w:szCs w:val="20"/>
    </w:rPr>
  </w:style>
  <w:style w:type="paragraph" w:styleId="13">
    <w:name w:val="Plain Text"/>
    <w:basedOn w:val="1"/>
    <w:link w:val="47"/>
    <w:semiHidden/>
    <w:unhideWhenUsed/>
    <w:qFormat/>
    <w:uiPriority w:val="99"/>
    <w:rPr>
      <w:rFonts w:hAnsi="Courier New" w:cs="Courier New" w:asciiTheme="minorEastAsia"/>
    </w:rPr>
  </w:style>
  <w:style w:type="paragraph" w:styleId="14">
    <w:name w:val="toc 8"/>
    <w:basedOn w:val="1"/>
    <w:next w:val="1"/>
    <w:autoRedefine/>
    <w:unhideWhenUsed/>
    <w:qFormat/>
    <w:uiPriority w:val="39"/>
    <w:pPr>
      <w:ind w:left="1470"/>
      <w:jc w:val="left"/>
    </w:pPr>
    <w:rPr>
      <w:rFonts w:eastAsiaTheme="minorHAnsi"/>
      <w:sz w:val="18"/>
      <w:szCs w:val="18"/>
    </w:rPr>
  </w:style>
  <w:style w:type="paragraph" w:styleId="15">
    <w:name w:val="Date"/>
    <w:basedOn w:val="1"/>
    <w:next w:val="1"/>
    <w:link w:val="46"/>
    <w:semiHidden/>
    <w:unhideWhenUsed/>
    <w:qFormat/>
    <w:uiPriority w:val="99"/>
    <w:pPr>
      <w:ind w:left="100" w:leftChars="2500"/>
    </w:pPr>
  </w:style>
  <w:style w:type="paragraph" w:styleId="16">
    <w:name w:val="Balloon Text"/>
    <w:basedOn w:val="1"/>
    <w:link w:val="49"/>
    <w:semiHidden/>
    <w:unhideWhenUsed/>
    <w:qFormat/>
    <w:uiPriority w:val="99"/>
    <w:rPr>
      <w:sz w:val="18"/>
      <w:szCs w:val="18"/>
    </w:rPr>
  </w:style>
  <w:style w:type="paragraph" w:styleId="17">
    <w:name w:val="footer"/>
    <w:basedOn w:val="1"/>
    <w:link w:val="44"/>
    <w:unhideWhenUsed/>
    <w:qFormat/>
    <w:uiPriority w:val="99"/>
    <w:pPr>
      <w:tabs>
        <w:tab w:val="center" w:pos="4153"/>
        <w:tab w:val="right" w:pos="8306"/>
      </w:tabs>
      <w:snapToGrid w:val="0"/>
      <w:jc w:val="left"/>
    </w:pPr>
    <w:rPr>
      <w:sz w:val="18"/>
      <w:szCs w:val="18"/>
    </w:rPr>
  </w:style>
  <w:style w:type="paragraph" w:styleId="18">
    <w:name w:val="header"/>
    <w:basedOn w:val="1"/>
    <w:link w:val="43"/>
    <w:unhideWhenUsed/>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autoRedefine/>
    <w:unhideWhenUsed/>
    <w:qFormat/>
    <w:uiPriority w:val="39"/>
    <w:pPr>
      <w:tabs>
        <w:tab w:val="right" w:leader="dot" w:pos="9060"/>
      </w:tabs>
      <w:spacing w:line="240" w:lineRule="auto"/>
      <w:jc w:val="left"/>
    </w:pPr>
    <w:rPr>
      <w:b/>
      <w:bCs/>
      <w:caps/>
      <w:szCs w:val="20"/>
    </w:rPr>
  </w:style>
  <w:style w:type="paragraph" w:styleId="20">
    <w:name w:val="toc 4"/>
    <w:basedOn w:val="1"/>
    <w:next w:val="1"/>
    <w:autoRedefine/>
    <w:unhideWhenUsed/>
    <w:qFormat/>
    <w:uiPriority w:val="39"/>
    <w:pPr>
      <w:ind w:left="630"/>
      <w:jc w:val="left"/>
    </w:pPr>
    <w:rPr>
      <w:sz w:val="18"/>
      <w:szCs w:val="18"/>
    </w:rPr>
  </w:style>
  <w:style w:type="paragraph" w:styleId="21">
    <w:name w:val="toc 6"/>
    <w:basedOn w:val="1"/>
    <w:next w:val="1"/>
    <w:autoRedefine/>
    <w:unhideWhenUsed/>
    <w:qFormat/>
    <w:uiPriority w:val="39"/>
    <w:pPr>
      <w:ind w:left="1050"/>
      <w:jc w:val="left"/>
    </w:pPr>
    <w:rPr>
      <w:sz w:val="18"/>
      <w:szCs w:val="18"/>
    </w:rPr>
  </w:style>
  <w:style w:type="paragraph" w:styleId="22">
    <w:name w:val="toc 2"/>
    <w:basedOn w:val="1"/>
    <w:next w:val="1"/>
    <w:autoRedefine/>
    <w:unhideWhenUsed/>
    <w:qFormat/>
    <w:uiPriority w:val="39"/>
    <w:pPr>
      <w:spacing w:line="240" w:lineRule="auto"/>
      <w:ind w:left="210"/>
      <w:jc w:val="left"/>
    </w:pPr>
    <w:rPr>
      <w:smallCaps/>
      <w:szCs w:val="20"/>
    </w:rPr>
  </w:style>
  <w:style w:type="paragraph" w:styleId="23">
    <w:name w:val="toc 9"/>
    <w:basedOn w:val="1"/>
    <w:next w:val="1"/>
    <w:autoRedefine/>
    <w:unhideWhenUsed/>
    <w:qFormat/>
    <w:uiPriority w:val="39"/>
    <w:pPr>
      <w:ind w:left="1680"/>
      <w:jc w:val="left"/>
    </w:pPr>
    <w:rPr>
      <w:rFonts w:eastAsiaTheme="minorHAnsi"/>
      <w:sz w:val="18"/>
      <w:szCs w:val="18"/>
    </w:rPr>
  </w:style>
  <w:style w:type="paragraph" w:styleId="24">
    <w:name w:val="Normal (Web)"/>
    <w:basedOn w:val="1"/>
    <w:semiHidden/>
    <w:unhideWhenUsed/>
    <w:qFormat/>
    <w:uiPriority w:val="99"/>
    <w:rPr>
      <w:rFonts w:ascii="Times New Roman" w:hAnsi="Times New Roman" w:cs="宋体"/>
      <w:sz w:val="24"/>
      <w:szCs w:val="24"/>
    </w:rPr>
  </w:style>
  <w:style w:type="paragraph" w:styleId="25">
    <w:name w:val="Title"/>
    <w:basedOn w:val="1"/>
    <w:next w:val="1"/>
    <w:link w:val="51"/>
    <w:qFormat/>
    <w:uiPriority w:val="10"/>
    <w:pPr>
      <w:spacing w:before="240" w:after="60"/>
      <w:jc w:val="center"/>
      <w:outlineLvl w:val="0"/>
    </w:pPr>
    <w:rPr>
      <w:rFonts w:asciiTheme="majorHAnsi" w:hAnsiTheme="majorHAnsi" w:eastAsiaTheme="majorEastAsia" w:cstheme="majorBidi"/>
      <w:b/>
      <w:bCs/>
      <w:sz w:val="32"/>
      <w:szCs w:val="32"/>
    </w:rPr>
  </w:style>
  <w:style w:type="paragraph" w:styleId="26">
    <w:name w:val="annotation subject"/>
    <w:basedOn w:val="9"/>
    <w:next w:val="9"/>
    <w:link w:val="48"/>
    <w:semiHidden/>
    <w:unhideWhenUsed/>
    <w:qFormat/>
    <w:uiPriority w:val="99"/>
    <w:rPr>
      <w:b/>
      <w:bCs/>
    </w:rPr>
  </w:style>
  <w:style w:type="table" w:styleId="28">
    <w:name w:val="Table Grid"/>
    <w:basedOn w:val="27"/>
    <w:qFormat/>
    <w:uiPriority w:val="39"/>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9">
    <w:name w:val="Light List Accent 1"/>
    <w:basedOn w:val="27"/>
    <w:semiHidden/>
    <w:unhideWhenUsed/>
    <w:qFormat/>
    <w:uiPriority w:val="61"/>
    <w:rPr>
      <w:rFonts w:ascii="Times New Roman" w:hAnsi="Times New Roman" w:eastAsia="宋体" w:cs="Times New Roman"/>
      <w:kern w:val="0"/>
      <w:sz w:val="20"/>
      <w:szCs w:val="20"/>
    </w:rPr>
    <w:tblPr>
      <w:tblBorders>
        <w:top w:val="single" w:color="5B9BD5" w:themeColor="accent1" w:sz="8" w:space="0"/>
        <w:left w:val="single" w:color="5B9BD5" w:themeColor="accent1" w:sz="8" w:space="0"/>
        <w:bottom w:val="single" w:color="5B9BD5" w:themeColor="accent1" w:sz="8" w:space="0"/>
        <w:right w:val="single" w:color="5B9BD5" w:themeColor="accent1"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5B9BD5" w:themeFill="accent1"/>
      </w:tcPr>
    </w:tblStylePr>
    <w:tblStylePr w:type="lastRow">
      <w:pPr>
        <w:spacing w:before="0" w:after="0" w:line="240" w:lineRule="auto"/>
      </w:pPr>
      <w:rPr>
        <w:b/>
        <w:bCs/>
      </w:rPr>
      <w:tblPr/>
      <w:tcPr>
        <w:tcBorders>
          <w:top w:val="double" w:color="5B9BD5" w:themeColor="accent1" w:sz="6" w:space="0"/>
          <w:left w:val="single" w:color="5B9BD5" w:themeColor="accent1" w:sz="8" w:space="0"/>
          <w:bottom w:val="single" w:color="5B9BD5" w:themeColor="accent1" w:sz="8" w:space="0"/>
          <w:right w:val="single" w:color="5B9BD5" w:themeColor="accent1" w:sz="8" w:space="0"/>
        </w:tcBorders>
      </w:tcPr>
    </w:tblStylePr>
    <w:tblStylePr w:type="firstCol">
      <w:rPr>
        <w:b/>
        <w:bCs/>
      </w:rPr>
    </w:tblStylePr>
    <w:tblStylePr w:type="lastCol">
      <w:rPr>
        <w:b/>
        <w:bCs/>
      </w:rPr>
    </w:tblStylePr>
    <w:tblStylePr w:type="band1Vert">
      <w:tblPr/>
      <w:tcPr>
        <w:tcBorders>
          <w:top w:val="single" w:color="5B9BD5" w:themeColor="accent1" w:sz="8" w:space="0"/>
          <w:left w:val="single" w:color="5B9BD5" w:themeColor="accent1" w:sz="8" w:space="0"/>
          <w:bottom w:val="single" w:color="5B9BD5" w:themeColor="accent1" w:sz="8" w:space="0"/>
          <w:right w:val="single" w:color="5B9BD5" w:themeColor="accent1" w:sz="8" w:space="0"/>
        </w:tcBorders>
      </w:tcPr>
    </w:tblStylePr>
    <w:tblStylePr w:type="band1Horz">
      <w:tblPr/>
      <w:tcPr>
        <w:tcBorders>
          <w:top w:val="single" w:color="5B9BD5" w:themeColor="accent1" w:sz="8" w:space="0"/>
          <w:left w:val="single" w:color="5B9BD5" w:themeColor="accent1" w:sz="8" w:space="0"/>
          <w:bottom w:val="single" w:color="5B9BD5" w:themeColor="accent1" w:sz="8" w:space="0"/>
          <w:right w:val="single" w:color="5B9BD5" w:themeColor="accent1" w:sz="8" w:space="0"/>
        </w:tcBorders>
      </w:tcPr>
    </w:tblStylePr>
  </w:style>
  <w:style w:type="character" w:styleId="31">
    <w:name w:val="Strong"/>
    <w:basedOn w:val="30"/>
    <w:qFormat/>
    <w:uiPriority w:val="22"/>
    <w:rPr>
      <w:b/>
      <w:bCs/>
    </w:rPr>
  </w:style>
  <w:style w:type="character" w:styleId="32">
    <w:name w:val="Hyperlink"/>
    <w:basedOn w:val="30"/>
    <w:unhideWhenUsed/>
    <w:qFormat/>
    <w:uiPriority w:val="99"/>
    <w:rPr>
      <w:color w:val="0000FF"/>
      <w:u w:val="single"/>
    </w:rPr>
  </w:style>
  <w:style w:type="character" w:styleId="33">
    <w:name w:val="HTML Code"/>
    <w:basedOn w:val="30"/>
    <w:semiHidden/>
    <w:unhideWhenUsed/>
    <w:qFormat/>
    <w:uiPriority w:val="99"/>
    <w:rPr>
      <w:rFonts w:ascii="Courier New" w:hAnsi="Courier New" w:cs="Courier New"/>
      <w:sz w:val="20"/>
      <w:szCs w:val="20"/>
    </w:rPr>
  </w:style>
  <w:style w:type="character" w:styleId="34">
    <w:name w:val="annotation reference"/>
    <w:basedOn w:val="30"/>
    <w:semiHidden/>
    <w:unhideWhenUsed/>
    <w:qFormat/>
    <w:uiPriority w:val="99"/>
    <w:rPr>
      <w:sz w:val="21"/>
      <w:szCs w:val="21"/>
    </w:rPr>
  </w:style>
  <w:style w:type="paragraph" w:customStyle="1" w:styleId="35">
    <w:name w:val="代码样式"/>
    <w:link w:val="36"/>
    <w:qFormat/>
    <w:uiPriority w:val="0"/>
    <w:pPr>
      <w:pBdr>
        <w:top w:val="single" w:color="auto" w:sz="4" w:space="1"/>
        <w:left w:val="single" w:color="auto" w:sz="4" w:space="4"/>
        <w:bottom w:val="single" w:color="auto" w:sz="4" w:space="1"/>
        <w:right w:val="single" w:color="auto" w:sz="4" w:space="4"/>
      </w:pBdr>
      <w:shd w:val="clear" w:color="auto" w:fill="A8D08D" w:themeFill="accent6" w:themeFillTint="99"/>
      <w:spacing w:beforeLines="50" w:afterLines="50"/>
      <w:ind w:left="50" w:leftChars="50" w:right="50" w:rightChars="50"/>
    </w:pPr>
    <w:rPr>
      <w:rFonts w:asciiTheme="minorHAnsi" w:hAnsiTheme="minorHAnsi" w:eastAsiaTheme="minorEastAsia" w:cstheme="minorBidi"/>
      <w:kern w:val="2"/>
      <w:sz w:val="21"/>
      <w:szCs w:val="21"/>
      <w:lang w:val="en-US" w:eastAsia="zh-CN" w:bidi="ar-SA"/>
    </w:rPr>
  </w:style>
  <w:style w:type="character" w:customStyle="1" w:styleId="36">
    <w:name w:val="代码样式 Char"/>
    <w:basedOn w:val="30"/>
    <w:link w:val="35"/>
    <w:qFormat/>
    <w:uiPriority w:val="0"/>
    <w:rPr>
      <w:shd w:val="clear" w:color="auto" w:fill="A8D08D" w:themeFill="accent6" w:themeFillTint="99"/>
    </w:rPr>
  </w:style>
  <w:style w:type="character" w:customStyle="1" w:styleId="37">
    <w:name w:val="标题 1 字符"/>
    <w:basedOn w:val="30"/>
    <w:link w:val="2"/>
    <w:qFormat/>
    <w:uiPriority w:val="9"/>
    <w:rPr>
      <w:rFonts w:eastAsia="宋体"/>
      <w:b/>
      <w:bCs/>
      <w:kern w:val="44"/>
      <w:sz w:val="24"/>
      <w:szCs w:val="44"/>
    </w:rPr>
  </w:style>
  <w:style w:type="character" w:customStyle="1" w:styleId="38">
    <w:name w:val="标题 2 字符"/>
    <w:basedOn w:val="30"/>
    <w:link w:val="3"/>
    <w:uiPriority w:val="9"/>
    <w:rPr>
      <w:rFonts w:eastAsia="宋体" w:asciiTheme="majorHAnsi" w:hAnsiTheme="majorHAnsi" w:cstheme="majorBidi"/>
      <w:b/>
      <w:bCs/>
      <w:sz w:val="24"/>
      <w:szCs w:val="32"/>
    </w:rPr>
  </w:style>
  <w:style w:type="character" w:customStyle="1" w:styleId="39">
    <w:name w:val="标题 3 字符"/>
    <w:basedOn w:val="30"/>
    <w:link w:val="4"/>
    <w:qFormat/>
    <w:uiPriority w:val="9"/>
    <w:rPr>
      <w:rFonts w:eastAsia="宋体"/>
      <w:b/>
      <w:bCs/>
      <w:sz w:val="24"/>
      <w:szCs w:val="32"/>
    </w:rPr>
  </w:style>
  <w:style w:type="character" w:customStyle="1" w:styleId="40">
    <w:name w:val="标题 4 字符"/>
    <w:basedOn w:val="30"/>
    <w:link w:val="5"/>
    <w:semiHidden/>
    <w:qFormat/>
    <w:uiPriority w:val="9"/>
    <w:rPr>
      <w:rFonts w:asciiTheme="majorHAnsi" w:hAnsiTheme="majorHAnsi" w:eastAsiaTheme="majorEastAsia" w:cstheme="majorBidi"/>
      <w:b/>
      <w:bCs/>
      <w:sz w:val="28"/>
      <w:szCs w:val="28"/>
    </w:rPr>
  </w:style>
  <w:style w:type="character" w:customStyle="1" w:styleId="41">
    <w:name w:val="正文缩进 字符"/>
    <w:link w:val="7"/>
    <w:semiHidden/>
    <w:qFormat/>
    <w:uiPriority w:val="99"/>
    <w:rPr>
      <w:rFonts w:asciiTheme="minorHAnsi" w:hAnsiTheme="minorHAnsi" w:eastAsiaTheme="minorEastAsia" w:cstheme="minorBidi"/>
      <w:sz w:val="21"/>
      <w:szCs w:val="22"/>
    </w:rPr>
  </w:style>
  <w:style w:type="character" w:customStyle="1" w:styleId="42">
    <w:name w:val="批注文字 字符"/>
    <w:basedOn w:val="30"/>
    <w:link w:val="9"/>
    <w:semiHidden/>
    <w:qFormat/>
    <w:uiPriority w:val="99"/>
    <w:rPr>
      <w:rFonts w:asciiTheme="minorHAnsi" w:hAnsiTheme="minorHAnsi" w:eastAsiaTheme="minorEastAsia" w:cstheme="minorBidi"/>
      <w:sz w:val="21"/>
      <w:szCs w:val="22"/>
    </w:rPr>
  </w:style>
  <w:style w:type="character" w:customStyle="1" w:styleId="43">
    <w:name w:val="页眉 字符"/>
    <w:basedOn w:val="30"/>
    <w:link w:val="18"/>
    <w:qFormat/>
    <w:uiPriority w:val="99"/>
    <w:rPr>
      <w:rFonts w:asciiTheme="minorHAnsi" w:hAnsiTheme="minorHAnsi" w:eastAsiaTheme="minorEastAsia" w:cstheme="minorBidi"/>
      <w:sz w:val="18"/>
      <w:szCs w:val="18"/>
    </w:rPr>
  </w:style>
  <w:style w:type="character" w:customStyle="1" w:styleId="44">
    <w:name w:val="页脚 字符"/>
    <w:basedOn w:val="30"/>
    <w:link w:val="17"/>
    <w:qFormat/>
    <w:uiPriority w:val="99"/>
    <w:rPr>
      <w:rFonts w:asciiTheme="minorHAnsi" w:hAnsiTheme="minorHAnsi" w:eastAsiaTheme="minorEastAsia" w:cstheme="minorBidi"/>
      <w:sz w:val="18"/>
      <w:szCs w:val="18"/>
    </w:rPr>
  </w:style>
  <w:style w:type="character" w:customStyle="1" w:styleId="45">
    <w:name w:val="正文文本 字符"/>
    <w:basedOn w:val="30"/>
    <w:link w:val="10"/>
    <w:semiHidden/>
    <w:qFormat/>
    <w:uiPriority w:val="99"/>
    <w:rPr>
      <w:rFonts w:asciiTheme="minorHAnsi" w:hAnsiTheme="minorHAnsi" w:eastAsiaTheme="minorEastAsia" w:cstheme="minorBidi"/>
      <w:sz w:val="21"/>
      <w:szCs w:val="22"/>
    </w:rPr>
  </w:style>
  <w:style w:type="character" w:customStyle="1" w:styleId="46">
    <w:name w:val="日期 字符"/>
    <w:basedOn w:val="30"/>
    <w:link w:val="15"/>
    <w:semiHidden/>
    <w:qFormat/>
    <w:uiPriority w:val="99"/>
    <w:rPr>
      <w:rFonts w:asciiTheme="minorHAnsi" w:hAnsiTheme="minorHAnsi" w:eastAsiaTheme="minorEastAsia" w:cstheme="minorBidi"/>
      <w:sz w:val="21"/>
      <w:szCs w:val="22"/>
    </w:rPr>
  </w:style>
  <w:style w:type="character" w:customStyle="1" w:styleId="47">
    <w:name w:val="纯文本 字符"/>
    <w:basedOn w:val="30"/>
    <w:link w:val="13"/>
    <w:semiHidden/>
    <w:qFormat/>
    <w:uiPriority w:val="99"/>
    <w:rPr>
      <w:rFonts w:hAnsi="Courier New" w:cs="Courier New" w:asciiTheme="minorEastAsia" w:eastAsiaTheme="minorEastAsia"/>
      <w:sz w:val="21"/>
      <w:szCs w:val="22"/>
    </w:rPr>
  </w:style>
  <w:style w:type="character" w:customStyle="1" w:styleId="48">
    <w:name w:val="批注主题 字符"/>
    <w:basedOn w:val="42"/>
    <w:link w:val="26"/>
    <w:semiHidden/>
    <w:qFormat/>
    <w:uiPriority w:val="99"/>
    <w:rPr>
      <w:rFonts w:asciiTheme="minorHAnsi" w:hAnsiTheme="minorHAnsi" w:eastAsiaTheme="minorEastAsia" w:cstheme="minorBidi"/>
      <w:b/>
      <w:bCs/>
      <w:sz w:val="21"/>
      <w:szCs w:val="22"/>
    </w:rPr>
  </w:style>
  <w:style w:type="character" w:customStyle="1" w:styleId="49">
    <w:name w:val="批注框文本 字符"/>
    <w:basedOn w:val="30"/>
    <w:link w:val="16"/>
    <w:semiHidden/>
    <w:qFormat/>
    <w:uiPriority w:val="99"/>
    <w:rPr>
      <w:rFonts w:asciiTheme="minorHAnsi" w:hAnsiTheme="minorHAnsi" w:eastAsiaTheme="minorEastAsia" w:cstheme="minorBidi"/>
      <w:sz w:val="18"/>
      <w:szCs w:val="18"/>
    </w:rPr>
  </w:style>
  <w:style w:type="paragraph" w:styleId="50">
    <w:name w:val="List Paragraph"/>
    <w:basedOn w:val="1"/>
    <w:qFormat/>
    <w:uiPriority w:val="34"/>
    <w:pPr>
      <w:ind w:firstLine="420" w:firstLineChars="200"/>
    </w:pPr>
  </w:style>
  <w:style w:type="character" w:customStyle="1" w:styleId="51">
    <w:name w:val="标题 字符"/>
    <w:basedOn w:val="30"/>
    <w:link w:val="25"/>
    <w:qFormat/>
    <w:uiPriority w:val="10"/>
    <w:rPr>
      <w:rFonts w:asciiTheme="majorHAnsi" w:hAnsiTheme="majorHAnsi" w:eastAsiaTheme="majorEastAsia" w:cstheme="majorBidi"/>
      <w:b/>
      <w:bCs/>
      <w:sz w:val="32"/>
      <w:szCs w:val="32"/>
    </w:rPr>
  </w:style>
  <w:style w:type="paragraph" w:customStyle="1" w:styleId="52">
    <w:name w:val="biaoge_left"/>
    <w:basedOn w:val="1"/>
    <w:qFormat/>
    <w:uiPriority w:val="0"/>
    <w:pPr>
      <w:widowControl/>
      <w:autoSpaceDE w:val="0"/>
      <w:autoSpaceDN w:val="0"/>
      <w:adjustRightInd w:val="0"/>
      <w:spacing w:before="29"/>
      <w:ind w:left="15"/>
      <w:jc w:val="left"/>
    </w:pPr>
    <w:rPr>
      <w:rFonts w:ascii="宋体" w:hAnsi="宋体" w:cs="宋体"/>
      <w:kern w:val="0"/>
      <w:szCs w:val="24"/>
    </w:rPr>
  </w:style>
  <w:style w:type="paragraph" w:customStyle="1" w:styleId="53">
    <w:name w:val="biaoge_center"/>
    <w:basedOn w:val="1"/>
    <w:qFormat/>
    <w:uiPriority w:val="0"/>
    <w:pPr>
      <w:widowControl/>
      <w:autoSpaceDE w:val="0"/>
      <w:autoSpaceDN w:val="0"/>
      <w:adjustRightInd w:val="0"/>
      <w:spacing w:before="29"/>
      <w:ind w:left="15"/>
      <w:jc w:val="center"/>
    </w:pPr>
    <w:rPr>
      <w:rFonts w:ascii="宋体" w:hAnsi="宋体" w:cs="宋体"/>
      <w:kern w:val="0"/>
      <w:szCs w:val="24"/>
    </w:rPr>
  </w:style>
  <w:style w:type="paragraph" w:customStyle="1" w:styleId="54">
    <w:name w:val="biaoge_right"/>
    <w:basedOn w:val="1"/>
    <w:qFormat/>
    <w:uiPriority w:val="0"/>
    <w:pPr>
      <w:widowControl/>
      <w:autoSpaceDE w:val="0"/>
      <w:autoSpaceDN w:val="0"/>
      <w:adjustRightInd w:val="0"/>
      <w:spacing w:before="29"/>
      <w:ind w:left="15"/>
      <w:jc w:val="right"/>
    </w:pPr>
    <w:rPr>
      <w:rFonts w:ascii="宋体" w:hAnsi="宋体" w:cs="宋体"/>
      <w:kern w:val="0"/>
      <w:szCs w:val="24"/>
    </w:rPr>
  </w:style>
  <w:style w:type="character" w:customStyle="1" w:styleId="55">
    <w:name w:val="zw"/>
    <w:basedOn w:val="30"/>
    <w:qFormat/>
    <w:uiPriority w:val="1"/>
    <w:rPr>
      <w:rFonts w:ascii="宋体" w:hAnsi="宋体" w:eastAsia="宋体"/>
      <w:color w:val="000000" w:themeColor="text1"/>
      <w:sz w:val="21"/>
      <w14:textFill>
        <w14:solidFill>
          <w14:schemeClr w14:val="tx1"/>
        </w14:solidFill>
      </w14:textFill>
    </w:rPr>
  </w:style>
  <w:style w:type="paragraph" w:customStyle="1" w:styleId="56">
    <w:name w:val="TOC Heading"/>
    <w:basedOn w:val="2"/>
    <w:next w:val="1"/>
    <w:unhideWhenUsed/>
    <w:qFormat/>
    <w:uiPriority w:val="39"/>
    <w:pPr>
      <w:keepNext/>
      <w:keepLines/>
      <w:widowControl/>
      <w:spacing w:before="24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character" w:customStyle="1" w:styleId="57">
    <w:name w:val="文档结构图 字符"/>
    <w:basedOn w:val="30"/>
    <w:link w:val="8"/>
    <w:semiHidden/>
    <w:qFormat/>
    <w:uiPriority w:val="99"/>
    <w:rPr>
      <w:rFonts w:ascii="宋体" w:eastAsia="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image" Target="media/image3.png"/><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90AC41-F1FC-4D08-9FC0-94272FA532B1}">
  <ds:schemaRefs/>
</ds:datastoreItem>
</file>

<file path=docProps/app.xml><?xml version="1.0" encoding="utf-8"?>
<Properties xmlns="http://schemas.openxmlformats.org/officeDocument/2006/extended-properties" xmlns:vt="http://schemas.openxmlformats.org/officeDocument/2006/docPropsVTypes">
  <Template>Normal.dotm</Template>
  <Pages>14</Pages>
  <Words>387</Words>
  <Characters>421</Characters>
  <Lines>1</Lines>
  <Paragraphs>1</Paragraphs>
  <TotalTime>51</TotalTime>
  <ScaleCrop>false</ScaleCrop>
  <LinksUpToDate>false</LinksUpToDate>
  <CharactersWithSpaces>447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2020-03-27T02:14:00Z</dcterms:created>
  <dc:creator>daicz</dc:creator>
  <cp:lastModifiedBy>聪子</cp:lastModifiedBy>
  <dcterms:modified xsi:type="dcterms:W3CDTF">2025-07-17T08:24:20Z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eyJoZGlkIjoiNDlmZDQ1NzE5ZjE5YTIwNzY1NzE5N2I3MjBkYWExNjEiLCJ1c2VySWQiOiIxMDI2NTI0Njg4In0=</vt:lpwstr>
  </property>
  <property fmtid="{D5CDD505-2E9C-101B-9397-08002B2CF9AE}" pid="4" name="ICV">
    <vt:lpwstr>30DCF05641674B23852A4044A48EA48B_12</vt:lpwstr>
  </property>
</Properties>
</file>