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ED30E">
      <w:pPr>
        <w:widowControl/>
        <w:jc w:val="center"/>
        <w:rPr>
          <w:rFonts w:ascii="Times New Roman" w:hAnsi="Times New Roman" w:eastAsia="宋体" w:cs="Times New Roman"/>
          <w:b/>
          <w:sz w:val="28"/>
          <w:szCs w:val="28"/>
        </w:rPr>
      </w:pPr>
      <w:r>
        <w:rPr>
          <w:rFonts w:ascii="Times New Roman" w:hAnsi="Times New Roman" w:eastAsia="宋体" w:cs="Times New Roman"/>
          <w:b/>
          <w:sz w:val="28"/>
          <w:szCs w:val="28"/>
        </w:rPr>
        <w:t>东方阿尔法基金管理有限公司关于旗下部分基金增加</w:t>
      </w:r>
    </w:p>
    <w:p w14:paraId="2DF21A8F">
      <w:pPr>
        <w:widowControl/>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国泰君安证券股份有限公司</w:t>
      </w:r>
      <w:r>
        <w:rPr>
          <w:rFonts w:ascii="Times New Roman" w:hAnsi="Times New Roman" w:eastAsia="宋体" w:cs="Times New Roman"/>
          <w:b/>
          <w:sz w:val="28"/>
          <w:szCs w:val="28"/>
        </w:rPr>
        <w:t>为销售机构的公告</w:t>
      </w:r>
    </w:p>
    <w:p w14:paraId="1B4A274D">
      <w:pPr>
        <w:jc w:val="center"/>
        <w:rPr>
          <w:rFonts w:ascii="Times New Roman" w:hAnsi="Times New Roman" w:eastAsia="宋体" w:cs="Times New Roman"/>
          <w:sz w:val="24"/>
          <w:szCs w:val="28"/>
        </w:rPr>
      </w:pPr>
    </w:p>
    <w:p w14:paraId="15997C84">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根据东方阿尔法基金管理有限公司（简称</w:t>
      </w:r>
      <w:r>
        <w:rPr>
          <w:rFonts w:hint="eastAsia" w:ascii="Times New Roman" w:hAnsi="Times New Roman" w:eastAsia="宋体" w:cs="Times New Roman"/>
          <w:sz w:val="24"/>
          <w:szCs w:val="28"/>
        </w:rPr>
        <w:t>“</w:t>
      </w:r>
      <w:r>
        <w:rPr>
          <w:rFonts w:ascii="Times New Roman" w:hAnsi="Times New Roman" w:eastAsia="宋体" w:cs="Times New Roman"/>
          <w:sz w:val="24"/>
          <w:szCs w:val="28"/>
        </w:rPr>
        <w:t>我司</w:t>
      </w:r>
      <w:r>
        <w:rPr>
          <w:rFonts w:hint="eastAsia" w:ascii="Times New Roman" w:hAnsi="Times New Roman" w:eastAsia="宋体" w:cs="Times New Roman"/>
          <w:sz w:val="24"/>
          <w:szCs w:val="28"/>
        </w:rPr>
        <w:t>”</w:t>
      </w:r>
      <w:r>
        <w:rPr>
          <w:rFonts w:ascii="Times New Roman" w:hAnsi="Times New Roman" w:eastAsia="宋体" w:cs="Times New Roman"/>
          <w:sz w:val="24"/>
          <w:szCs w:val="28"/>
        </w:rPr>
        <w:t>）与</w:t>
      </w:r>
      <w:r>
        <w:rPr>
          <w:rFonts w:hint="eastAsia" w:ascii="Times New Roman" w:hAnsi="Times New Roman" w:eastAsia="宋体" w:cs="Times New Roman"/>
          <w:sz w:val="24"/>
          <w:szCs w:val="28"/>
        </w:rPr>
        <w:t>国泰君安证券股份有限公司</w:t>
      </w:r>
      <w:r>
        <w:rPr>
          <w:rFonts w:ascii="Times New Roman" w:hAnsi="Times New Roman" w:eastAsia="宋体" w:cs="Times New Roman"/>
          <w:sz w:val="24"/>
          <w:szCs w:val="28"/>
        </w:rPr>
        <w:t>签署的销售服务协议，自2025年3月17日起，我司旗下部分基金增加国泰君安证券股份有限公司为销售机构。现将有关事项公告如下</w:t>
      </w:r>
      <w:r>
        <w:rPr>
          <w:rFonts w:hint="eastAsia" w:ascii="Times New Roman" w:hAnsi="Times New Roman" w:eastAsia="宋体" w:cs="Times New Roman"/>
          <w:sz w:val="24"/>
          <w:szCs w:val="28"/>
        </w:rPr>
        <w:t>：</w:t>
      </w:r>
    </w:p>
    <w:p w14:paraId="32604C37">
      <w:pPr>
        <w:spacing w:line="360" w:lineRule="auto"/>
        <w:rPr>
          <w:rFonts w:ascii="Times New Roman" w:hAnsi="Times New Roman" w:eastAsia="宋体" w:cs="Times New Roman"/>
          <w:sz w:val="24"/>
          <w:szCs w:val="28"/>
        </w:rPr>
      </w:pPr>
    </w:p>
    <w:p w14:paraId="630F5B7A">
      <w:pPr>
        <w:pStyle w:val="20"/>
        <w:numPr>
          <w:ilvl w:val="0"/>
          <w:numId w:val="1"/>
        </w:numPr>
        <w:spacing w:line="360" w:lineRule="auto"/>
        <w:ind w:firstLineChars="0"/>
        <w:rPr>
          <w:rFonts w:ascii="Times New Roman" w:hAnsi="Times New Roman" w:eastAsia="宋体" w:cs="Times New Roman"/>
          <w:b/>
          <w:sz w:val="24"/>
          <w:szCs w:val="28"/>
        </w:rPr>
      </w:pPr>
      <w:r>
        <w:rPr>
          <w:rFonts w:ascii="Times New Roman" w:hAnsi="Times New Roman" w:eastAsia="宋体" w:cs="Times New Roman"/>
          <w:b/>
          <w:sz w:val="24"/>
          <w:szCs w:val="28"/>
        </w:rPr>
        <w:t>涉及基金及业务范围</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843"/>
        <w:gridCol w:w="5749"/>
      </w:tblGrid>
      <w:tr w14:paraId="5B2E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tcPr>
          <w:p w14:paraId="55E771E6">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序号</w:t>
            </w:r>
          </w:p>
        </w:tc>
        <w:tc>
          <w:tcPr>
            <w:tcW w:w="1843" w:type="dxa"/>
          </w:tcPr>
          <w:p w14:paraId="538A1801">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基金代码</w:t>
            </w:r>
          </w:p>
        </w:tc>
        <w:tc>
          <w:tcPr>
            <w:tcW w:w="5749" w:type="dxa"/>
          </w:tcPr>
          <w:p w14:paraId="749E6615">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基金名称</w:t>
            </w:r>
          </w:p>
        </w:tc>
      </w:tr>
      <w:tr w14:paraId="03FED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restart"/>
          </w:tcPr>
          <w:p w14:paraId="500158D8">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1</w:t>
            </w:r>
          </w:p>
        </w:tc>
        <w:tc>
          <w:tcPr>
            <w:tcW w:w="1843" w:type="dxa"/>
          </w:tcPr>
          <w:p w14:paraId="0D2D707A">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A类：0</w:t>
            </w:r>
            <w:r>
              <w:rPr>
                <w:rFonts w:hint="eastAsia" w:ascii="Times New Roman" w:hAnsi="Times New Roman" w:eastAsia="宋体" w:cs="Times New Roman"/>
                <w:sz w:val="24"/>
                <w:szCs w:val="28"/>
              </w:rPr>
              <w:t>11184</w:t>
            </w:r>
          </w:p>
        </w:tc>
        <w:tc>
          <w:tcPr>
            <w:tcW w:w="5749" w:type="dxa"/>
            <w:vMerge w:val="restart"/>
          </w:tcPr>
          <w:p w14:paraId="1B1081B8">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东方阿尔法</w:t>
            </w:r>
            <w:r>
              <w:rPr>
                <w:rFonts w:hint="eastAsia" w:ascii="Times New Roman" w:hAnsi="Times New Roman" w:eastAsia="宋体" w:cs="Times New Roman"/>
                <w:sz w:val="24"/>
                <w:szCs w:val="28"/>
              </w:rPr>
              <w:t>招阳</w:t>
            </w:r>
            <w:r>
              <w:rPr>
                <w:rFonts w:ascii="Times New Roman" w:hAnsi="Times New Roman" w:eastAsia="宋体" w:cs="Times New Roman"/>
                <w:sz w:val="24"/>
                <w:szCs w:val="28"/>
              </w:rPr>
              <w:t>混合型证券投资基金</w:t>
            </w:r>
          </w:p>
        </w:tc>
      </w:tr>
      <w:tr w14:paraId="01FB4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continue"/>
          </w:tcPr>
          <w:p w14:paraId="2E63BA06">
            <w:pPr>
              <w:spacing w:line="360" w:lineRule="auto"/>
              <w:jc w:val="center"/>
              <w:rPr>
                <w:rFonts w:ascii="Times New Roman" w:hAnsi="Times New Roman" w:eastAsia="宋体" w:cs="Times New Roman"/>
                <w:b/>
                <w:sz w:val="24"/>
                <w:szCs w:val="28"/>
              </w:rPr>
            </w:pPr>
          </w:p>
        </w:tc>
        <w:tc>
          <w:tcPr>
            <w:tcW w:w="1843" w:type="dxa"/>
          </w:tcPr>
          <w:p w14:paraId="46FB6D75">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E类：0</w:t>
            </w:r>
            <w:r>
              <w:rPr>
                <w:rFonts w:hint="eastAsia" w:ascii="Times New Roman" w:hAnsi="Times New Roman" w:eastAsia="宋体" w:cs="Times New Roman"/>
                <w:sz w:val="24"/>
                <w:szCs w:val="28"/>
              </w:rPr>
              <w:t>1</w:t>
            </w:r>
            <w:r>
              <w:rPr>
                <w:rFonts w:ascii="Times New Roman" w:hAnsi="Times New Roman" w:eastAsia="宋体" w:cs="Times New Roman"/>
                <w:sz w:val="24"/>
                <w:szCs w:val="28"/>
              </w:rPr>
              <w:t>7889</w:t>
            </w:r>
          </w:p>
        </w:tc>
        <w:tc>
          <w:tcPr>
            <w:tcW w:w="5749" w:type="dxa"/>
            <w:vMerge w:val="continue"/>
          </w:tcPr>
          <w:p w14:paraId="4BF326F0">
            <w:pPr>
              <w:spacing w:line="360" w:lineRule="auto"/>
              <w:jc w:val="center"/>
              <w:rPr>
                <w:rFonts w:ascii="Times New Roman" w:hAnsi="Times New Roman" w:eastAsia="宋体" w:cs="Times New Roman"/>
                <w:sz w:val="24"/>
                <w:szCs w:val="28"/>
              </w:rPr>
            </w:pPr>
          </w:p>
        </w:tc>
      </w:tr>
      <w:tr w14:paraId="4F316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restart"/>
          </w:tcPr>
          <w:p w14:paraId="4CF1A2B8">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2</w:t>
            </w:r>
          </w:p>
        </w:tc>
        <w:tc>
          <w:tcPr>
            <w:tcW w:w="1843" w:type="dxa"/>
          </w:tcPr>
          <w:p w14:paraId="10167C49">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014841</w:t>
            </w:r>
          </w:p>
        </w:tc>
        <w:tc>
          <w:tcPr>
            <w:tcW w:w="5749" w:type="dxa"/>
            <w:vMerge w:val="restart"/>
          </w:tcPr>
          <w:p w14:paraId="3A854A9D">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东方阿尔法医疗健康混合型发起式</w:t>
            </w:r>
          </w:p>
          <w:p w14:paraId="4B07AE6D">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证券投资基金</w:t>
            </w:r>
          </w:p>
        </w:tc>
      </w:tr>
      <w:tr w14:paraId="7A39A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continue"/>
          </w:tcPr>
          <w:p w14:paraId="481BFB0E">
            <w:pPr>
              <w:spacing w:line="360" w:lineRule="auto"/>
              <w:jc w:val="center"/>
              <w:rPr>
                <w:rFonts w:ascii="Times New Roman" w:hAnsi="Times New Roman" w:eastAsia="宋体" w:cs="Times New Roman"/>
                <w:b/>
                <w:sz w:val="24"/>
                <w:szCs w:val="28"/>
              </w:rPr>
            </w:pPr>
          </w:p>
        </w:tc>
        <w:tc>
          <w:tcPr>
            <w:tcW w:w="1843" w:type="dxa"/>
          </w:tcPr>
          <w:p w14:paraId="647FA9D8">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01484</w:t>
            </w:r>
            <w:r>
              <w:rPr>
                <w:rFonts w:ascii="Times New Roman" w:hAnsi="Times New Roman" w:eastAsia="宋体" w:cs="Times New Roman"/>
                <w:sz w:val="24"/>
                <w:szCs w:val="28"/>
              </w:rPr>
              <w:t>2</w:t>
            </w:r>
          </w:p>
        </w:tc>
        <w:tc>
          <w:tcPr>
            <w:tcW w:w="5749" w:type="dxa"/>
            <w:vMerge w:val="continue"/>
          </w:tcPr>
          <w:p w14:paraId="02D2A142">
            <w:pPr>
              <w:spacing w:line="360" w:lineRule="auto"/>
              <w:jc w:val="center"/>
              <w:rPr>
                <w:rFonts w:ascii="Times New Roman" w:hAnsi="Times New Roman" w:eastAsia="宋体" w:cs="Times New Roman"/>
                <w:sz w:val="24"/>
                <w:szCs w:val="28"/>
              </w:rPr>
            </w:pPr>
          </w:p>
        </w:tc>
      </w:tr>
      <w:tr w14:paraId="2AC86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restart"/>
          </w:tcPr>
          <w:p w14:paraId="05E8DF83">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3</w:t>
            </w:r>
          </w:p>
        </w:tc>
        <w:tc>
          <w:tcPr>
            <w:tcW w:w="1843" w:type="dxa"/>
          </w:tcPr>
          <w:p w14:paraId="7CC9CE66">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005358</w:t>
            </w:r>
          </w:p>
        </w:tc>
        <w:tc>
          <w:tcPr>
            <w:tcW w:w="5749" w:type="dxa"/>
            <w:vMerge w:val="restart"/>
          </w:tcPr>
          <w:p w14:paraId="0C254730">
            <w:pPr>
              <w:spacing w:line="360" w:lineRule="auto"/>
              <w:jc w:val="center"/>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东方阿尔法精选灵活配置混合型发起式</w:t>
            </w:r>
          </w:p>
          <w:p w14:paraId="0A5A5E7F">
            <w:pPr>
              <w:spacing w:line="360" w:lineRule="auto"/>
              <w:jc w:val="center"/>
              <w:rPr>
                <w:rFonts w:ascii="Times New Roman" w:hAnsi="Times New Roman" w:eastAsia="宋体" w:cs="Times New Roman"/>
                <w:sz w:val="24"/>
                <w:szCs w:val="28"/>
              </w:rPr>
            </w:pPr>
            <w:bookmarkStart w:id="0" w:name="_GoBack"/>
            <w:bookmarkEnd w:id="0"/>
            <w:r>
              <w:rPr>
                <w:rFonts w:hint="eastAsia" w:ascii="Times New Roman" w:hAnsi="Times New Roman" w:eastAsia="宋体" w:cs="Times New Roman"/>
                <w:sz w:val="24"/>
                <w:szCs w:val="28"/>
              </w:rPr>
              <w:t>证券投资基金</w:t>
            </w:r>
          </w:p>
        </w:tc>
      </w:tr>
      <w:tr w14:paraId="727CA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continue"/>
          </w:tcPr>
          <w:p w14:paraId="5D3E7409">
            <w:pPr>
              <w:spacing w:line="360" w:lineRule="auto"/>
              <w:jc w:val="center"/>
              <w:rPr>
                <w:rFonts w:ascii="Times New Roman" w:hAnsi="Times New Roman" w:eastAsia="宋体" w:cs="Times New Roman"/>
                <w:b/>
                <w:sz w:val="24"/>
                <w:szCs w:val="28"/>
              </w:rPr>
            </w:pPr>
          </w:p>
        </w:tc>
        <w:tc>
          <w:tcPr>
            <w:tcW w:w="1843" w:type="dxa"/>
          </w:tcPr>
          <w:p w14:paraId="4EA9829B">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：00535</w:t>
            </w:r>
            <w:r>
              <w:rPr>
                <w:rFonts w:ascii="Times New Roman" w:hAnsi="Times New Roman" w:eastAsia="宋体" w:cs="Times New Roman"/>
                <w:sz w:val="24"/>
                <w:szCs w:val="28"/>
              </w:rPr>
              <w:t>9</w:t>
            </w:r>
          </w:p>
        </w:tc>
        <w:tc>
          <w:tcPr>
            <w:tcW w:w="5749" w:type="dxa"/>
            <w:vMerge w:val="continue"/>
          </w:tcPr>
          <w:p w14:paraId="1068B6D5">
            <w:pPr>
              <w:spacing w:line="360" w:lineRule="auto"/>
              <w:jc w:val="center"/>
              <w:rPr>
                <w:rFonts w:ascii="Times New Roman" w:hAnsi="Times New Roman" w:eastAsia="宋体" w:cs="Times New Roman"/>
                <w:sz w:val="24"/>
                <w:szCs w:val="28"/>
              </w:rPr>
            </w:pPr>
          </w:p>
        </w:tc>
      </w:tr>
      <w:tr w14:paraId="6B5C3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restart"/>
          </w:tcPr>
          <w:p w14:paraId="47F6E9AA">
            <w:pPr>
              <w:spacing w:line="360" w:lineRule="auto"/>
              <w:jc w:val="center"/>
              <w:rPr>
                <w:rFonts w:ascii="Times New Roman" w:hAnsi="Times New Roman" w:eastAsia="宋体" w:cs="Times New Roman"/>
                <w:b/>
                <w:sz w:val="24"/>
                <w:szCs w:val="28"/>
              </w:rPr>
            </w:pPr>
            <w:r>
              <w:rPr>
                <w:rFonts w:ascii="Times New Roman" w:hAnsi="Times New Roman" w:eastAsia="宋体" w:cs="Times New Roman"/>
                <w:b/>
                <w:sz w:val="24"/>
                <w:szCs w:val="28"/>
              </w:rPr>
              <w:t>4</w:t>
            </w:r>
          </w:p>
        </w:tc>
        <w:tc>
          <w:tcPr>
            <w:tcW w:w="1843" w:type="dxa"/>
          </w:tcPr>
          <w:p w14:paraId="3E623222">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A类：</w:t>
            </w:r>
            <w:r>
              <w:rPr>
                <w:rFonts w:hint="eastAsia" w:ascii="Times New Roman" w:hAnsi="Times New Roman" w:eastAsia="宋体" w:cs="Times New Roman"/>
                <w:sz w:val="24"/>
                <w:szCs w:val="28"/>
              </w:rPr>
              <w:t>00751</w:t>
            </w:r>
            <w:r>
              <w:rPr>
                <w:rFonts w:ascii="Times New Roman" w:hAnsi="Times New Roman" w:eastAsia="宋体" w:cs="Times New Roman"/>
                <w:sz w:val="24"/>
                <w:szCs w:val="28"/>
              </w:rPr>
              <w:t>8</w:t>
            </w:r>
          </w:p>
        </w:tc>
        <w:tc>
          <w:tcPr>
            <w:tcW w:w="5749" w:type="dxa"/>
            <w:vMerge w:val="restart"/>
          </w:tcPr>
          <w:p w14:paraId="2AB2D489">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东方阿尔法优选混合型发起式</w:t>
            </w:r>
          </w:p>
          <w:p w14:paraId="5537E65B">
            <w:pPr>
              <w:spacing w:line="360" w:lineRule="auto"/>
              <w:jc w:val="center"/>
              <w:rPr>
                <w:rFonts w:ascii="Times New Roman" w:hAnsi="Times New Roman" w:eastAsia="宋体" w:cs="Times New Roman"/>
                <w:sz w:val="24"/>
                <w:szCs w:val="28"/>
              </w:rPr>
            </w:pPr>
            <w:r>
              <w:rPr>
                <w:rFonts w:hint="eastAsia" w:ascii="Times New Roman" w:hAnsi="Times New Roman" w:eastAsia="宋体" w:cs="Times New Roman"/>
                <w:sz w:val="24"/>
                <w:szCs w:val="28"/>
              </w:rPr>
              <w:t>证券投资基金</w:t>
            </w:r>
          </w:p>
        </w:tc>
      </w:tr>
      <w:tr w14:paraId="440DF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4" w:type="dxa"/>
            <w:vMerge w:val="continue"/>
          </w:tcPr>
          <w:p w14:paraId="259BAE0C">
            <w:pPr>
              <w:spacing w:line="360" w:lineRule="auto"/>
              <w:jc w:val="center"/>
              <w:rPr>
                <w:rFonts w:ascii="Times New Roman" w:hAnsi="Times New Roman" w:eastAsia="宋体" w:cs="Times New Roman"/>
                <w:b/>
                <w:sz w:val="24"/>
                <w:szCs w:val="28"/>
              </w:rPr>
            </w:pPr>
          </w:p>
        </w:tc>
        <w:tc>
          <w:tcPr>
            <w:tcW w:w="1843" w:type="dxa"/>
          </w:tcPr>
          <w:p w14:paraId="0B1B3238">
            <w:pPr>
              <w:spacing w:line="360" w:lineRule="auto"/>
              <w:jc w:val="center"/>
              <w:rPr>
                <w:rFonts w:ascii="Times New Roman" w:hAnsi="Times New Roman" w:eastAsia="宋体" w:cs="Times New Roman"/>
                <w:sz w:val="24"/>
                <w:szCs w:val="28"/>
              </w:rPr>
            </w:pPr>
            <w:r>
              <w:rPr>
                <w:rFonts w:ascii="Times New Roman" w:hAnsi="Times New Roman" w:eastAsia="宋体" w:cs="Times New Roman"/>
                <w:sz w:val="24"/>
                <w:szCs w:val="28"/>
              </w:rPr>
              <w:t>C类：</w:t>
            </w:r>
            <w:r>
              <w:rPr>
                <w:rFonts w:hint="eastAsia" w:ascii="Times New Roman" w:hAnsi="Times New Roman" w:eastAsia="宋体" w:cs="Times New Roman"/>
                <w:sz w:val="24"/>
                <w:szCs w:val="28"/>
              </w:rPr>
              <w:t>00751</w:t>
            </w:r>
            <w:r>
              <w:rPr>
                <w:rFonts w:ascii="Times New Roman" w:hAnsi="Times New Roman" w:eastAsia="宋体" w:cs="Times New Roman"/>
                <w:sz w:val="24"/>
                <w:szCs w:val="28"/>
              </w:rPr>
              <w:t>9</w:t>
            </w:r>
          </w:p>
        </w:tc>
        <w:tc>
          <w:tcPr>
            <w:tcW w:w="5749" w:type="dxa"/>
            <w:vMerge w:val="continue"/>
          </w:tcPr>
          <w:p w14:paraId="353768EB">
            <w:pPr>
              <w:spacing w:line="360" w:lineRule="auto"/>
              <w:jc w:val="center"/>
              <w:rPr>
                <w:rFonts w:ascii="Times New Roman" w:hAnsi="Times New Roman" w:eastAsia="宋体" w:cs="Times New Roman"/>
                <w:sz w:val="24"/>
                <w:szCs w:val="28"/>
              </w:rPr>
            </w:pPr>
          </w:p>
        </w:tc>
      </w:tr>
    </w:tbl>
    <w:p w14:paraId="2F4B474F">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投资人可按照国泰君安证券股份有限公司提供的方式办理上述基金的开户、申购、赎回、转换及定投业务。具体业务办理规则请遵循国泰君安证券股份有限公司的相关规定。</w:t>
      </w:r>
    </w:p>
    <w:p w14:paraId="3C473059">
      <w:pPr>
        <w:spacing w:line="360" w:lineRule="auto"/>
        <w:rPr>
          <w:rFonts w:ascii="Times New Roman" w:hAnsi="Times New Roman" w:eastAsia="宋体" w:cs="Times New Roman"/>
          <w:b/>
          <w:sz w:val="24"/>
          <w:szCs w:val="28"/>
        </w:rPr>
      </w:pPr>
    </w:p>
    <w:p w14:paraId="750BA699">
      <w:pPr>
        <w:spacing w:line="360" w:lineRule="auto"/>
        <w:ind w:firstLine="482" w:firstLineChars="200"/>
        <w:rPr>
          <w:rFonts w:ascii="Times New Roman" w:hAnsi="Times New Roman" w:eastAsia="宋体" w:cs="Times New Roman"/>
          <w:b/>
          <w:sz w:val="24"/>
          <w:szCs w:val="28"/>
        </w:rPr>
      </w:pPr>
      <w:r>
        <w:rPr>
          <w:rFonts w:ascii="Times New Roman" w:hAnsi="Times New Roman" w:eastAsia="宋体" w:cs="Times New Roman"/>
          <w:b/>
          <w:sz w:val="24"/>
          <w:szCs w:val="28"/>
        </w:rPr>
        <w:t>二、重要提示</w:t>
      </w:r>
    </w:p>
    <w:p w14:paraId="39FB5734">
      <w:pPr>
        <w:spacing w:line="360" w:lineRule="auto"/>
        <w:ind w:firstLine="510"/>
        <w:rPr>
          <w:rFonts w:ascii="Times New Roman" w:hAnsi="Times New Roman" w:eastAsia="宋体" w:cs="Times New Roman"/>
          <w:sz w:val="24"/>
          <w:szCs w:val="28"/>
        </w:rPr>
      </w:pPr>
      <w:r>
        <w:rPr>
          <w:rFonts w:ascii="Times New Roman" w:hAnsi="Times New Roman" w:eastAsia="宋体" w:cs="Times New Roman"/>
          <w:sz w:val="24"/>
          <w:szCs w:val="28"/>
        </w:rPr>
        <w:t>1、上述</w:t>
      </w:r>
      <w:r>
        <w:rPr>
          <w:rFonts w:hint="eastAsia" w:ascii="Times New Roman" w:hAnsi="Times New Roman" w:eastAsia="宋体" w:cs="Times New Roman"/>
          <w:sz w:val="24"/>
          <w:szCs w:val="28"/>
        </w:rPr>
        <w:t>申</w:t>
      </w:r>
      <w:r>
        <w:rPr>
          <w:rFonts w:ascii="Times New Roman" w:hAnsi="Times New Roman" w:eastAsia="宋体" w:cs="Times New Roman"/>
          <w:sz w:val="24"/>
          <w:szCs w:val="28"/>
        </w:rPr>
        <w:t>购/赎回业务仅适用于处于正常申购、赎回开放日和开放时间的基金。基金封闭期等特殊期间的有关规定详见对应基金的《基金合同》</w:t>
      </w:r>
      <w:r>
        <w:rPr>
          <w:rFonts w:hint="eastAsia" w:ascii="Times New Roman" w:hAnsi="Times New Roman" w:eastAsia="宋体" w:cs="Times New Roman"/>
          <w:sz w:val="24"/>
          <w:szCs w:val="28"/>
        </w:rPr>
        <w:t>、</w:t>
      </w:r>
      <w:r>
        <w:rPr>
          <w:rFonts w:ascii="Times New Roman" w:hAnsi="Times New Roman" w:eastAsia="宋体" w:cs="Times New Roman"/>
          <w:sz w:val="24"/>
          <w:szCs w:val="28"/>
        </w:rPr>
        <w:t>《招募说明书》及</w:t>
      </w:r>
      <w:r>
        <w:rPr>
          <w:rFonts w:hint="eastAsia" w:ascii="Times New Roman" w:hAnsi="Times New Roman" w:eastAsia="宋体" w:cs="Times New Roman"/>
          <w:sz w:val="24"/>
          <w:szCs w:val="28"/>
        </w:rPr>
        <w:t>《基金产品资料概要》</w:t>
      </w:r>
      <w:r>
        <w:rPr>
          <w:rFonts w:ascii="Times New Roman" w:hAnsi="Times New Roman" w:eastAsia="宋体" w:cs="Times New Roman"/>
          <w:sz w:val="24"/>
          <w:szCs w:val="28"/>
        </w:rPr>
        <w:t>等法律文件及本公司发布的最新业务公告。</w:t>
      </w:r>
    </w:p>
    <w:p w14:paraId="4486C15D">
      <w:pPr>
        <w:spacing w:line="360" w:lineRule="auto"/>
        <w:ind w:firstLine="510"/>
        <w:rPr>
          <w:rFonts w:ascii="Times New Roman" w:hAnsi="Times New Roman" w:eastAsia="宋体" w:cs="Times New Roman"/>
          <w:sz w:val="24"/>
          <w:szCs w:val="28"/>
        </w:rPr>
      </w:pPr>
      <w:r>
        <w:rPr>
          <w:rFonts w:ascii="Times New Roman" w:hAnsi="Times New Roman" w:eastAsia="宋体" w:cs="Times New Roman"/>
          <w:sz w:val="24"/>
          <w:szCs w:val="28"/>
        </w:rPr>
        <w:t>2、投资者应认真阅读拟投资基金的《基金合同》、《招募说明书》及</w:t>
      </w:r>
      <w:r>
        <w:rPr>
          <w:rFonts w:hint="eastAsia" w:ascii="Times New Roman" w:hAnsi="Times New Roman" w:eastAsia="宋体" w:cs="Times New Roman"/>
          <w:sz w:val="24"/>
          <w:szCs w:val="28"/>
        </w:rPr>
        <w:t>《基金产品资料概要》</w:t>
      </w:r>
      <w:r>
        <w:rPr>
          <w:rFonts w:ascii="Times New Roman" w:hAnsi="Times New Roman" w:eastAsia="宋体" w:cs="Times New Roman"/>
          <w:sz w:val="24"/>
          <w:szCs w:val="28"/>
        </w:rPr>
        <w:t>等法律文件，了解所投资基金的风险收益特征，并根据自身情况购买与本人风险承受能力相匹配的产品。</w:t>
      </w:r>
    </w:p>
    <w:p w14:paraId="5C7A9B15">
      <w:pPr>
        <w:spacing w:line="360" w:lineRule="auto"/>
        <w:ind w:firstLine="510"/>
        <w:rPr>
          <w:rFonts w:ascii="Times New Roman" w:hAnsi="Times New Roman" w:eastAsia="宋体" w:cs="Times New Roman"/>
          <w:sz w:val="24"/>
          <w:szCs w:val="28"/>
        </w:rPr>
      </w:pPr>
      <w:r>
        <w:rPr>
          <w:rFonts w:ascii="Times New Roman" w:hAnsi="Times New Roman" w:eastAsia="宋体" w:cs="Times New Roman"/>
          <w:sz w:val="24"/>
          <w:szCs w:val="28"/>
        </w:rPr>
        <w:t>3</w:t>
      </w:r>
      <w:r>
        <w:rPr>
          <w:rFonts w:hint="eastAsia" w:ascii="Times New Roman" w:hAnsi="Times New Roman" w:eastAsia="宋体" w:cs="Times New Roman"/>
          <w:sz w:val="24"/>
          <w:szCs w:val="28"/>
        </w:rPr>
        <w:t>、投资者通过</w:t>
      </w:r>
      <w:r>
        <w:rPr>
          <w:rFonts w:ascii="Times New Roman" w:hAnsi="Times New Roman" w:eastAsia="宋体" w:cs="Times New Roman"/>
          <w:sz w:val="24"/>
          <w:szCs w:val="28"/>
        </w:rPr>
        <w:t>国泰君安证券股份有限公司申购</w:t>
      </w:r>
      <w:r>
        <w:rPr>
          <w:rFonts w:hint="eastAsia" w:ascii="Times New Roman" w:hAnsi="Times New Roman" w:eastAsia="宋体" w:cs="Times New Roman"/>
          <w:sz w:val="24"/>
          <w:szCs w:val="28"/>
        </w:rPr>
        <w:t>（包含</w:t>
      </w:r>
      <w:r>
        <w:rPr>
          <w:rFonts w:ascii="Times New Roman" w:hAnsi="Times New Roman" w:eastAsia="宋体" w:cs="Times New Roman"/>
          <w:sz w:val="24"/>
          <w:szCs w:val="28"/>
        </w:rPr>
        <w:t>定期定额投资</w:t>
      </w:r>
      <w:r>
        <w:rPr>
          <w:rFonts w:hint="eastAsia" w:ascii="Times New Roman" w:hAnsi="Times New Roman" w:eastAsia="宋体" w:cs="Times New Roman"/>
          <w:sz w:val="24"/>
          <w:szCs w:val="28"/>
        </w:rPr>
        <w:t>、转换转入）我司上述基金，前端申购费率</w:t>
      </w:r>
      <w:r>
        <w:rPr>
          <w:rFonts w:ascii="Times New Roman" w:hAnsi="Times New Roman" w:eastAsia="宋体" w:cs="Times New Roman"/>
          <w:sz w:val="24"/>
          <w:szCs w:val="28"/>
        </w:rPr>
        <w:t>实行的费率优惠政策</w:t>
      </w:r>
      <w:r>
        <w:rPr>
          <w:rFonts w:hint="eastAsia" w:ascii="Times New Roman" w:hAnsi="Times New Roman" w:eastAsia="宋体" w:cs="Times New Roman"/>
          <w:sz w:val="24"/>
          <w:szCs w:val="28"/>
        </w:rPr>
        <w:t>以国泰君安证券股份有限公司官方网站公告为准，我司将不再另行通知。</w:t>
      </w:r>
    </w:p>
    <w:p w14:paraId="7C54CFFE">
      <w:pPr>
        <w:spacing w:line="360" w:lineRule="auto"/>
        <w:ind w:firstLine="510"/>
        <w:rPr>
          <w:rFonts w:ascii="Times New Roman" w:hAnsi="Times New Roman" w:eastAsia="宋体" w:cs="Times New Roman"/>
          <w:sz w:val="24"/>
          <w:szCs w:val="28"/>
        </w:rPr>
      </w:pPr>
    </w:p>
    <w:p w14:paraId="6F475589">
      <w:pPr>
        <w:spacing w:line="360" w:lineRule="auto"/>
        <w:ind w:firstLine="361" w:firstLineChars="150"/>
        <w:rPr>
          <w:rFonts w:ascii="Times New Roman" w:hAnsi="Times New Roman" w:eastAsia="宋体" w:cs="Times New Roman"/>
          <w:sz w:val="24"/>
          <w:szCs w:val="28"/>
        </w:rPr>
      </w:pPr>
      <w:r>
        <w:rPr>
          <w:rFonts w:hint="eastAsia" w:ascii="Times New Roman" w:hAnsi="Times New Roman" w:eastAsia="宋体" w:cs="Times New Roman"/>
          <w:b/>
          <w:sz w:val="24"/>
          <w:szCs w:val="28"/>
        </w:rPr>
        <w:t>三</w:t>
      </w:r>
      <w:r>
        <w:rPr>
          <w:rFonts w:ascii="Times New Roman" w:hAnsi="Times New Roman" w:eastAsia="宋体" w:cs="Times New Roman"/>
          <w:b/>
          <w:sz w:val="24"/>
          <w:szCs w:val="28"/>
        </w:rPr>
        <w:t>、投资人可通过以下途径了解或咨询相关情况</w:t>
      </w:r>
    </w:p>
    <w:p w14:paraId="2AC76720">
      <w:pPr>
        <w:widowControl/>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1、国泰君安证券股份有限公司</w:t>
      </w:r>
    </w:p>
    <w:p w14:paraId="5BCDE9FF">
      <w:pPr>
        <w:widowControl/>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客服电话：95521</w:t>
      </w:r>
    </w:p>
    <w:p w14:paraId="2F1F089B">
      <w:pPr>
        <w:widowControl/>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网址：</w:t>
      </w:r>
      <w:r>
        <w:fldChar w:fldCharType="begin"/>
      </w:r>
      <w:r>
        <w:instrText xml:space="preserve"> HYPERLINK "http://www.gtja.com" </w:instrText>
      </w:r>
      <w:r>
        <w:fldChar w:fldCharType="separate"/>
      </w:r>
      <w:r>
        <w:rPr>
          <w:rFonts w:hint="eastAsia" w:ascii="Times New Roman" w:hAnsi="Times New Roman" w:eastAsia="宋体" w:cs="Times New Roman"/>
          <w:sz w:val="24"/>
          <w:szCs w:val="28"/>
        </w:rPr>
        <w:t>www.gtja.com</w:t>
      </w:r>
      <w:r>
        <w:rPr>
          <w:rFonts w:hint="eastAsia" w:ascii="Times New Roman" w:hAnsi="Times New Roman" w:eastAsia="宋体" w:cs="Times New Roman"/>
          <w:sz w:val="24"/>
          <w:szCs w:val="28"/>
        </w:rPr>
        <w:fldChar w:fldCharType="end"/>
      </w:r>
    </w:p>
    <w:p w14:paraId="0419C86C">
      <w:pPr>
        <w:widowControl/>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2、东方阿尔法基金管理有限公司</w:t>
      </w:r>
    </w:p>
    <w:p w14:paraId="6D37CFBB">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客服电话：400-930-6677</w:t>
      </w:r>
    </w:p>
    <w:p w14:paraId="3230CD26">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网址：</w:t>
      </w:r>
      <w:r>
        <w:fldChar w:fldCharType="begin"/>
      </w:r>
      <w:r>
        <w:instrText xml:space="preserve"> HYPERLINK "http://www.dfa66.com" </w:instrText>
      </w:r>
      <w:r>
        <w:fldChar w:fldCharType="separate"/>
      </w:r>
      <w:r>
        <w:rPr>
          <w:rFonts w:ascii="Times New Roman" w:hAnsi="Times New Roman" w:eastAsia="宋体" w:cs="Times New Roman"/>
          <w:sz w:val="24"/>
          <w:szCs w:val="28"/>
        </w:rPr>
        <w:t>www.dfa66.com</w:t>
      </w:r>
      <w:r>
        <w:rPr>
          <w:rFonts w:ascii="Times New Roman" w:hAnsi="Times New Roman" w:eastAsia="宋体" w:cs="Times New Roman"/>
          <w:sz w:val="24"/>
          <w:szCs w:val="28"/>
        </w:rPr>
        <w:fldChar w:fldCharType="end"/>
      </w:r>
    </w:p>
    <w:p w14:paraId="2118F021">
      <w:pPr>
        <w:spacing w:line="360" w:lineRule="auto"/>
        <w:ind w:firstLine="555"/>
        <w:rPr>
          <w:rFonts w:ascii="Times New Roman" w:hAnsi="Times New Roman" w:eastAsia="宋体" w:cs="Times New Roman"/>
          <w:sz w:val="24"/>
          <w:szCs w:val="28"/>
        </w:rPr>
      </w:pPr>
    </w:p>
    <w:p w14:paraId="6D0F7ECF">
      <w:pPr>
        <w:spacing w:line="360" w:lineRule="auto"/>
        <w:ind w:firstLine="482" w:firstLineChars="200"/>
        <w:rPr>
          <w:rFonts w:ascii="Times New Roman" w:hAnsi="Times New Roman" w:eastAsia="宋体" w:cs="Times New Roman"/>
          <w:b/>
          <w:sz w:val="24"/>
          <w:szCs w:val="28"/>
        </w:rPr>
      </w:pPr>
      <w:r>
        <w:rPr>
          <w:rFonts w:hint="eastAsia" w:ascii="Times New Roman" w:hAnsi="Times New Roman" w:eastAsia="宋体" w:cs="Times New Roman"/>
          <w:b/>
          <w:sz w:val="24"/>
          <w:szCs w:val="28"/>
        </w:rPr>
        <w:t>四</w:t>
      </w:r>
      <w:r>
        <w:rPr>
          <w:rFonts w:ascii="Times New Roman" w:hAnsi="Times New Roman" w:eastAsia="宋体" w:cs="Times New Roman"/>
          <w:b/>
          <w:sz w:val="24"/>
          <w:szCs w:val="28"/>
        </w:rPr>
        <w:t>、风险提示</w:t>
      </w:r>
    </w:p>
    <w:p w14:paraId="57BD9794">
      <w:pPr>
        <w:spacing w:line="360" w:lineRule="auto"/>
        <w:ind w:firstLine="510"/>
        <w:rPr>
          <w:rFonts w:ascii="Times New Roman" w:hAnsi="Times New Roman" w:eastAsia="宋体" w:cs="Times New Roman"/>
          <w:sz w:val="24"/>
          <w:szCs w:val="28"/>
        </w:rPr>
      </w:pPr>
      <w:r>
        <w:rPr>
          <w:rFonts w:hint="eastAsia" w:ascii="Times New Roman" w:hAnsi="Times New Roman" w:eastAsia="宋体" w:cs="Times New Roman"/>
          <w:sz w:val="24"/>
          <w:szCs w:val="28"/>
        </w:rPr>
        <w:t>基金管理人承诺以诚实信用、勤勉尽责的原则管理和运用基金资产，但不保证基金一定盈利，也不保证最低收益。投资者投资本公司旗下基金时应认真阅读基金的基金产品资料概要、《基金合同》和《招募说明书》。敬请投资者注意投资风险。</w:t>
      </w:r>
    </w:p>
    <w:p w14:paraId="2EB593A3">
      <w:pPr>
        <w:spacing w:line="360" w:lineRule="auto"/>
        <w:ind w:firstLine="600" w:firstLineChars="250"/>
        <w:rPr>
          <w:rFonts w:ascii="Times New Roman" w:hAnsi="Times New Roman" w:eastAsia="宋体" w:cs="Times New Roman"/>
          <w:sz w:val="24"/>
          <w:szCs w:val="28"/>
        </w:rPr>
      </w:pPr>
    </w:p>
    <w:p w14:paraId="128BFC84">
      <w:pPr>
        <w:spacing w:line="360" w:lineRule="auto"/>
        <w:ind w:firstLine="600" w:firstLineChars="250"/>
        <w:rPr>
          <w:rFonts w:ascii="Times New Roman" w:hAnsi="Times New Roman" w:eastAsia="宋体" w:cs="Times New Roman"/>
          <w:sz w:val="24"/>
          <w:szCs w:val="28"/>
        </w:rPr>
      </w:pPr>
      <w:r>
        <w:rPr>
          <w:rFonts w:ascii="Times New Roman" w:hAnsi="Times New Roman" w:eastAsia="宋体" w:cs="Times New Roman"/>
          <w:sz w:val="24"/>
          <w:szCs w:val="28"/>
        </w:rPr>
        <w:t>特此公告。</w:t>
      </w:r>
    </w:p>
    <w:p w14:paraId="441A5693">
      <w:pPr>
        <w:spacing w:line="360" w:lineRule="auto"/>
        <w:jc w:val="right"/>
        <w:rPr>
          <w:rFonts w:ascii="Times New Roman" w:hAnsi="Times New Roman" w:eastAsia="宋体" w:cs="Times New Roman"/>
          <w:sz w:val="24"/>
          <w:szCs w:val="28"/>
        </w:rPr>
      </w:pPr>
    </w:p>
    <w:p w14:paraId="62494714">
      <w:pPr>
        <w:spacing w:line="360" w:lineRule="auto"/>
        <w:jc w:val="right"/>
        <w:rPr>
          <w:rFonts w:ascii="Times New Roman" w:hAnsi="Times New Roman" w:eastAsia="宋体" w:cs="Times New Roman"/>
          <w:sz w:val="24"/>
          <w:szCs w:val="28"/>
        </w:rPr>
      </w:pPr>
      <w:r>
        <w:rPr>
          <w:rFonts w:ascii="Times New Roman" w:hAnsi="Times New Roman" w:eastAsia="宋体" w:cs="Times New Roman"/>
          <w:sz w:val="24"/>
          <w:szCs w:val="28"/>
        </w:rPr>
        <w:t>东方阿尔法基金管理有限公司</w:t>
      </w:r>
    </w:p>
    <w:p w14:paraId="34C41B4A">
      <w:pPr>
        <w:spacing w:line="360" w:lineRule="auto"/>
        <w:ind w:firstLine="960" w:firstLineChars="400"/>
        <w:rPr>
          <w:rFonts w:ascii="Times New Roman" w:hAnsi="Times New Roman" w:eastAsia="宋体" w:cs="Times New Roman"/>
          <w:sz w:val="24"/>
          <w:szCs w:val="28"/>
        </w:rPr>
      </w:pPr>
      <w:r>
        <w:rPr>
          <w:rFonts w:ascii="Times New Roman" w:hAnsi="Times New Roman" w:eastAsia="宋体" w:cs="Times New Roman"/>
          <w:sz w:val="24"/>
          <w:szCs w:val="28"/>
        </w:rPr>
        <w:t xml:space="preserve">                                        2025年3月17日</w:t>
      </w:r>
    </w:p>
    <w:p w14:paraId="73F736AE">
      <w:pPr>
        <w:spacing w:line="360" w:lineRule="auto"/>
        <w:ind w:firstLine="480" w:firstLineChars="200"/>
        <w:rPr>
          <w:rFonts w:ascii="Times New Roman" w:hAnsi="Times New Roman" w:eastAsia="宋体" w:cs="Times New Roman"/>
          <w:sz w:val="24"/>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5F5B3">
    <w:pPr>
      <w:pStyle w:val="5"/>
      <w:ind w:firstLine="90" w:firstLineChars="50"/>
      <w:jc w:val="left"/>
    </w:pPr>
    <w:r>
      <w:rPr>
        <w:rFonts w:hint="eastAsia"/>
      </w:rPr>
      <w:drawing>
        <wp:inline distT="0" distB="0" distL="0" distR="0">
          <wp:extent cx="1111250" cy="300990"/>
          <wp:effectExtent l="0" t="0" r="0" b="3810"/>
          <wp:docPr id="1" name="图片 1" descr="D:\01 公司与部门\公司\公司VI\logo\东方阿尔法基金-简称-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1 公司与部门\公司\公司VI\logo\东方阿尔法基金-简称-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93624" cy="323451"/>
                  </a:xfrm>
                  <a:prstGeom prst="rect">
                    <a:avLst/>
                  </a:prstGeom>
                  <a:noFill/>
                  <a:ln>
                    <a:noFill/>
                  </a:ln>
                </pic:spPr>
              </pic:pic>
            </a:graphicData>
          </a:graphic>
        </wp:inline>
      </w:drawing>
    </w:r>
    <w:r>
      <w:t xml:space="preserve">                                                              </w:t>
    </w:r>
    <w:r>
      <w:rPr>
        <w:rFonts w:hint="eastAsia"/>
        <w:b/>
      </w:rPr>
      <w:t>临时公告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DF12DE"/>
    <w:multiLevelType w:val="multilevel"/>
    <w:tmpl w:val="30DF12DE"/>
    <w:lvl w:ilvl="0" w:tentative="0">
      <w:start w:val="1"/>
      <w:numFmt w:val="japaneseCounting"/>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79D"/>
    <w:rsid w:val="00015722"/>
    <w:rsid w:val="0004177D"/>
    <w:rsid w:val="000606F2"/>
    <w:rsid w:val="0008268A"/>
    <w:rsid w:val="000D7B19"/>
    <w:rsid w:val="00110B40"/>
    <w:rsid w:val="00114551"/>
    <w:rsid w:val="001220D4"/>
    <w:rsid w:val="00141D53"/>
    <w:rsid w:val="00143F57"/>
    <w:rsid w:val="001773A1"/>
    <w:rsid w:val="001832AE"/>
    <w:rsid w:val="001A4C04"/>
    <w:rsid w:val="001C35F8"/>
    <w:rsid w:val="001C3E73"/>
    <w:rsid w:val="001F2AD8"/>
    <w:rsid w:val="0022362D"/>
    <w:rsid w:val="002354CC"/>
    <w:rsid w:val="0024726A"/>
    <w:rsid w:val="0025679D"/>
    <w:rsid w:val="00263B66"/>
    <w:rsid w:val="00277A25"/>
    <w:rsid w:val="002912F5"/>
    <w:rsid w:val="002A16EB"/>
    <w:rsid w:val="002A3043"/>
    <w:rsid w:val="002D16FC"/>
    <w:rsid w:val="00302788"/>
    <w:rsid w:val="0034158D"/>
    <w:rsid w:val="00344324"/>
    <w:rsid w:val="003B0BD5"/>
    <w:rsid w:val="003B0DE3"/>
    <w:rsid w:val="003D2686"/>
    <w:rsid w:val="003D5472"/>
    <w:rsid w:val="003F2031"/>
    <w:rsid w:val="00402BD4"/>
    <w:rsid w:val="00462A45"/>
    <w:rsid w:val="004A2D0C"/>
    <w:rsid w:val="004C4731"/>
    <w:rsid w:val="004E055B"/>
    <w:rsid w:val="00511D40"/>
    <w:rsid w:val="005175CF"/>
    <w:rsid w:val="00527C23"/>
    <w:rsid w:val="005457C3"/>
    <w:rsid w:val="005C45B7"/>
    <w:rsid w:val="005F3399"/>
    <w:rsid w:val="00616902"/>
    <w:rsid w:val="00673149"/>
    <w:rsid w:val="006A55B1"/>
    <w:rsid w:val="006D1327"/>
    <w:rsid w:val="006E28A4"/>
    <w:rsid w:val="006F5807"/>
    <w:rsid w:val="00701039"/>
    <w:rsid w:val="00705E3C"/>
    <w:rsid w:val="00715BD7"/>
    <w:rsid w:val="007358D7"/>
    <w:rsid w:val="00745385"/>
    <w:rsid w:val="00745A69"/>
    <w:rsid w:val="00745BD9"/>
    <w:rsid w:val="00761DBB"/>
    <w:rsid w:val="00773CE1"/>
    <w:rsid w:val="00782739"/>
    <w:rsid w:val="00787CBE"/>
    <w:rsid w:val="007946E0"/>
    <w:rsid w:val="007E2506"/>
    <w:rsid w:val="007E3C34"/>
    <w:rsid w:val="008174C8"/>
    <w:rsid w:val="00881A92"/>
    <w:rsid w:val="00881FB9"/>
    <w:rsid w:val="008D1191"/>
    <w:rsid w:val="008D4C41"/>
    <w:rsid w:val="00916F09"/>
    <w:rsid w:val="009355DF"/>
    <w:rsid w:val="0096664A"/>
    <w:rsid w:val="009960EC"/>
    <w:rsid w:val="009A5D4B"/>
    <w:rsid w:val="009C10F2"/>
    <w:rsid w:val="009C69A0"/>
    <w:rsid w:val="009E1B49"/>
    <w:rsid w:val="009F6A81"/>
    <w:rsid w:val="00A0161D"/>
    <w:rsid w:val="00A06F43"/>
    <w:rsid w:val="00A22362"/>
    <w:rsid w:val="00A30681"/>
    <w:rsid w:val="00A310E2"/>
    <w:rsid w:val="00A35AC3"/>
    <w:rsid w:val="00A444B0"/>
    <w:rsid w:val="00A44B64"/>
    <w:rsid w:val="00A4651D"/>
    <w:rsid w:val="00A52734"/>
    <w:rsid w:val="00B06542"/>
    <w:rsid w:val="00B267E2"/>
    <w:rsid w:val="00B52CBC"/>
    <w:rsid w:val="00B6576C"/>
    <w:rsid w:val="00BC0E97"/>
    <w:rsid w:val="00C021A6"/>
    <w:rsid w:val="00C108BC"/>
    <w:rsid w:val="00C56C57"/>
    <w:rsid w:val="00C77FBC"/>
    <w:rsid w:val="00D34703"/>
    <w:rsid w:val="00D62B52"/>
    <w:rsid w:val="00D632E2"/>
    <w:rsid w:val="00D674D1"/>
    <w:rsid w:val="00D73CFA"/>
    <w:rsid w:val="00DB2993"/>
    <w:rsid w:val="00E05102"/>
    <w:rsid w:val="00E3011C"/>
    <w:rsid w:val="00E31013"/>
    <w:rsid w:val="00E33E14"/>
    <w:rsid w:val="00E60895"/>
    <w:rsid w:val="00E91ABC"/>
    <w:rsid w:val="00E93EA7"/>
    <w:rsid w:val="00EA0AF0"/>
    <w:rsid w:val="00EB69C8"/>
    <w:rsid w:val="00EE3C35"/>
    <w:rsid w:val="00F62750"/>
    <w:rsid w:val="00F7249B"/>
    <w:rsid w:val="00F93C05"/>
    <w:rsid w:val="00FC4933"/>
    <w:rsid w:val="09656309"/>
    <w:rsid w:val="10243891"/>
    <w:rsid w:val="160D5CDF"/>
    <w:rsid w:val="18287620"/>
    <w:rsid w:val="1D022708"/>
    <w:rsid w:val="1F831850"/>
    <w:rsid w:val="23EF736A"/>
    <w:rsid w:val="2499746D"/>
    <w:rsid w:val="25DD4616"/>
    <w:rsid w:val="266D39F1"/>
    <w:rsid w:val="2FBD1C0F"/>
    <w:rsid w:val="34370570"/>
    <w:rsid w:val="38964594"/>
    <w:rsid w:val="3D3A3274"/>
    <w:rsid w:val="3F3679F4"/>
    <w:rsid w:val="40B05BC3"/>
    <w:rsid w:val="45482ECB"/>
    <w:rsid w:val="47C11BB9"/>
    <w:rsid w:val="49E51719"/>
    <w:rsid w:val="4CFC2E08"/>
    <w:rsid w:val="4DAB491E"/>
    <w:rsid w:val="50434EDA"/>
    <w:rsid w:val="59252BC6"/>
    <w:rsid w:val="5CD61AAB"/>
    <w:rsid w:val="611A1702"/>
    <w:rsid w:val="65CC5933"/>
    <w:rsid w:val="6BFA300C"/>
    <w:rsid w:val="6C2C0E8F"/>
    <w:rsid w:val="70E725EB"/>
    <w:rsid w:val="76C6470F"/>
    <w:rsid w:val="784840B3"/>
    <w:rsid w:val="7C2A5AD4"/>
    <w:rsid w:val="7EA62B73"/>
    <w:rsid w:val="7F5D46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9"/>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semiHidden/>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u w:val="single"/>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table" w:customStyle="1" w:styleId="13">
    <w:name w:val="网格型1"/>
    <w:basedOn w:val="7"/>
    <w:qFormat/>
    <w:uiPriority w:val="59"/>
    <w:rPr>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页脚 字符"/>
    <w:basedOn w:val="9"/>
    <w:link w:val="4"/>
    <w:qFormat/>
    <w:uiPriority w:val="99"/>
    <w:rPr>
      <w:sz w:val="18"/>
      <w:szCs w:val="18"/>
    </w:rPr>
  </w:style>
  <w:style w:type="character" w:customStyle="1" w:styleId="15">
    <w:name w:val="fontstyle01"/>
    <w:basedOn w:val="9"/>
    <w:qFormat/>
    <w:uiPriority w:val="0"/>
    <w:rPr>
      <w:rFonts w:hint="eastAsia" w:ascii="宋体" w:hAnsi="宋体" w:eastAsia="宋体"/>
      <w:color w:val="000000"/>
      <w:sz w:val="28"/>
      <w:szCs w:val="28"/>
    </w:rPr>
  </w:style>
  <w:style w:type="character" w:customStyle="1" w:styleId="16">
    <w:name w:val="fontstyle21"/>
    <w:basedOn w:val="9"/>
    <w:qFormat/>
    <w:uiPriority w:val="0"/>
    <w:rPr>
      <w:rFonts w:hint="default" w:ascii="Calibri" w:hAnsi="Calibri" w:cs="Calibri"/>
      <w:color w:val="000000"/>
      <w:sz w:val="28"/>
      <w:szCs w:val="28"/>
    </w:rPr>
  </w:style>
  <w:style w:type="character" w:customStyle="1" w:styleId="17">
    <w:name w:val="批注文字 字符"/>
    <w:basedOn w:val="9"/>
    <w:link w:val="2"/>
    <w:semiHidden/>
    <w:qFormat/>
    <w:uiPriority w:val="99"/>
    <w:rPr>
      <w:szCs w:val="22"/>
    </w:rPr>
  </w:style>
  <w:style w:type="character" w:customStyle="1" w:styleId="18">
    <w:name w:val="批注主题 字符"/>
    <w:basedOn w:val="17"/>
    <w:link w:val="6"/>
    <w:semiHidden/>
    <w:qFormat/>
    <w:uiPriority w:val="99"/>
    <w:rPr>
      <w:b/>
      <w:bCs/>
      <w:szCs w:val="22"/>
    </w:rPr>
  </w:style>
  <w:style w:type="character" w:customStyle="1" w:styleId="19">
    <w:name w:val="批注框文本 字符"/>
    <w:basedOn w:val="9"/>
    <w:link w:val="3"/>
    <w:semiHidden/>
    <w:qFormat/>
    <w:uiPriority w:val="99"/>
    <w:rPr>
      <w:sz w:val="18"/>
      <w:szCs w:val="18"/>
    </w:rPr>
  </w:style>
  <w:style w:type="paragraph" w:styleId="2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839</Words>
  <Characters>925</Characters>
  <Lines>2</Lines>
  <Paragraphs>2</Paragraphs>
  <TotalTime>63</TotalTime>
  <ScaleCrop>false</ScaleCrop>
  <LinksUpToDate>false</LinksUpToDate>
  <CharactersWithSpaces>965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2021-02-26T05:06:00Z</dcterms:created>
  <dc:creator>Microsoft Office User</dc:creator>
  <cp:lastModifiedBy>聪子</cp:lastModifiedBy>
  <cp:lastPrinted>2021-12-13T03:30:00Z</cp:lastPrinted>
  <dcterms:modified xsi:type="dcterms:W3CDTF">2025-03-14T00:43:09Z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eyJoZGlkIjoiNDlmZDQ1NzE5ZjE5YTIwNzY1NzE5N2I3MjBkYWExNjEiLCJ1c2VySWQiOiIxMDI2NTI0Njg4In0=</vt:lpwstr>
  </property>
  <property fmtid="{D5CDD505-2E9C-101B-9397-08002B2CF9AE}" pid="4" name="ICV">
    <vt:lpwstr>241730BCF986425C8DD5060E257B304F_12</vt:lpwstr>
  </property>
</Properties>
</file>