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5EA0BA" w14:textId="77777777" w:rsidR="00530BA3" w:rsidRPr="0034046A" w:rsidRDefault="00400E6A">
      <w:pPr>
        <w:jc w:val="center"/>
        <w:rPr>
          <w:rFonts w:ascii="黑体" w:eastAsia="黑体" w:hAnsi="黑体" w:cs="Times New Roman"/>
          <w:sz w:val="32"/>
          <w:szCs w:val="44"/>
        </w:rPr>
      </w:pPr>
      <w:r w:rsidRPr="0034046A">
        <w:rPr>
          <w:rFonts w:ascii="黑体" w:eastAsia="黑体" w:hAnsi="黑体" w:cs="Times New Roman" w:hint="eastAsia"/>
          <w:sz w:val="32"/>
          <w:szCs w:val="44"/>
        </w:rPr>
        <w:t>东方阿尔法兴科一年持有期混合</w:t>
      </w:r>
      <w:r w:rsidRPr="0034046A">
        <w:rPr>
          <w:rFonts w:ascii="黑体" w:eastAsia="黑体" w:hAnsi="黑体" w:cs="Times New Roman"/>
          <w:sz w:val="32"/>
          <w:szCs w:val="44"/>
        </w:rPr>
        <w:t>型证券投资基金（A类份额）</w:t>
      </w:r>
    </w:p>
    <w:p w14:paraId="2248CFAC" w14:textId="23AEC280" w:rsidR="00530BA3" w:rsidRPr="0034046A" w:rsidRDefault="00400E6A">
      <w:pPr>
        <w:jc w:val="center"/>
        <w:rPr>
          <w:rFonts w:ascii="黑体" w:eastAsia="黑体" w:hAnsi="黑体" w:cs="Times New Roman"/>
          <w:sz w:val="32"/>
          <w:szCs w:val="44"/>
        </w:rPr>
      </w:pPr>
      <w:r w:rsidRPr="0034046A">
        <w:rPr>
          <w:rFonts w:ascii="黑体" w:eastAsia="黑体" w:hAnsi="黑体" w:cs="Times New Roman"/>
          <w:sz w:val="32"/>
          <w:szCs w:val="44"/>
        </w:rPr>
        <w:t>基金产品资料概要</w:t>
      </w:r>
      <w:r w:rsidR="00E90048" w:rsidRPr="0034046A">
        <w:rPr>
          <w:rFonts w:ascii="黑体" w:eastAsia="黑体" w:hAnsi="黑体" w:cs="Times New Roman" w:hint="eastAsia"/>
          <w:sz w:val="32"/>
          <w:szCs w:val="44"/>
        </w:rPr>
        <w:t>更新</w:t>
      </w:r>
    </w:p>
    <w:p w14:paraId="5E53B3A1" w14:textId="44F10DDF" w:rsidR="00530BA3" w:rsidRPr="0034046A" w:rsidRDefault="00400E6A">
      <w:pPr>
        <w:spacing w:afterLines="50" w:after="156"/>
        <w:jc w:val="right"/>
        <w:rPr>
          <w:rFonts w:asciiTheme="minorEastAsia" w:hAnsiTheme="minorEastAsia"/>
        </w:rPr>
      </w:pPr>
      <w:r w:rsidRPr="0034046A">
        <w:rPr>
          <w:rFonts w:asciiTheme="minorEastAsia" w:hAnsiTheme="minorEastAsia" w:hint="eastAsia"/>
        </w:rPr>
        <w:t>编制日期：</w:t>
      </w:r>
      <w:r w:rsidR="00DF6C1C" w:rsidRPr="0034046A">
        <w:rPr>
          <w:rFonts w:asciiTheme="minorEastAsia" w:hAnsiTheme="minorEastAsia"/>
        </w:rPr>
        <w:t>2023</w:t>
      </w:r>
      <w:r w:rsidRPr="0034046A">
        <w:rPr>
          <w:rFonts w:asciiTheme="minorEastAsia" w:hAnsiTheme="minorEastAsia" w:hint="eastAsia"/>
        </w:rPr>
        <w:t>年</w:t>
      </w:r>
      <w:r w:rsidR="0034046A" w:rsidRPr="0034046A">
        <w:rPr>
          <w:rFonts w:asciiTheme="minorEastAsia" w:hAnsiTheme="minorEastAsia"/>
        </w:rPr>
        <w:t>11</w:t>
      </w:r>
      <w:r w:rsidRPr="0034046A">
        <w:rPr>
          <w:rFonts w:asciiTheme="minorEastAsia" w:hAnsiTheme="minorEastAsia" w:hint="eastAsia"/>
        </w:rPr>
        <w:t>月</w:t>
      </w:r>
      <w:r w:rsidR="0034046A" w:rsidRPr="0034046A">
        <w:rPr>
          <w:rFonts w:asciiTheme="minorEastAsia" w:hAnsiTheme="minorEastAsia"/>
        </w:rPr>
        <w:t>2</w:t>
      </w:r>
      <w:r w:rsidRPr="0034046A">
        <w:rPr>
          <w:rFonts w:asciiTheme="minorEastAsia" w:hAnsiTheme="minorEastAsia" w:hint="eastAsia"/>
        </w:rPr>
        <w:t>日</w:t>
      </w:r>
    </w:p>
    <w:p w14:paraId="4C1EFF87" w14:textId="318EEDD1" w:rsidR="00530BA3" w:rsidRPr="0034046A" w:rsidRDefault="00400E6A">
      <w:pPr>
        <w:spacing w:afterLines="50" w:after="156"/>
        <w:ind w:right="420"/>
        <w:jc w:val="center"/>
        <w:rPr>
          <w:rFonts w:asciiTheme="minorEastAsia" w:hAnsiTheme="minorEastAsia"/>
        </w:rPr>
      </w:pPr>
      <w:r w:rsidRPr="0034046A">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47F5FAEB" wp14:editId="42A7DC8B">
                <wp:simplePos x="0" y="0"/>
                <wp:positionH relativeFrom="margin">
                  <wp:posOffset>332740</wp:posOffset>
                </wp:positionH>
                <wp:positionV relativeFrom="paragraph">
                  <wp:posOffset>243840</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ln>
                      </wps:spPr>
                      <wps:txbx>
                        <w:txbxContent>
                          <w:p w14:paraId="0A9809C3" w14:textId="77777777" w:rsidR="00530BA3" w:rsidRDefault="00400E6A">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05BB26E8" w14:textId="77777777" w:rsidR="00530BA3" w:rsidRDefault="00400E6A">
                            <w:pPr>
                              <w:jc w:val="distribute"/>
                              <w:rPr>
                                <w:rFonts w:asciiTheme="minorEastAsia" w:hAnsiTheme="minorEastAsia"/>
                                <w:b/>
                                <w:sz w:val="24"/>
                                <w:szCs w:val="32"/>
                              </w:rPr>
                            </w:pPr>
                            <w:r>
                              <w:rPr>
                                <w:rFonts w:asciiTheme="minorEastAsia" w:hAnsiTheme="minorEastAsia" w:hint="eastAsia"/>
                                <w:b/>
                                <w:sz w:val="24"/>
                                <w:szCs w:val="32"/>
                              </w:rPr>
                              <w:t>作出投资决定前，请阅读完整的招募说明书等销售文件。</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type w14:anchorId="47F5FAEB"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" stroked="f">
                <v:textbox style="mso-fit-shape-to-text:t">
                  <w:txbxContent>
                    <w:p w14:paraId="0A9809C3" w14:textId="77777777" w:rsidR="00530BA3" w:rsidRDefault="00400E6A">
                      <w:pPr>
                        <w:jc w:val="distribute"/>
                        <w:rPr>
                          <w:rFonts w:asciiTheme="minorEastAsia" w:hAnsiTheme="minorEastAsia"/>
                          <w:b/>
                          <w:sz w:val="24"/>
                          <w:szCs w:val="32"/>
                        </w:rPr>
                      </w:pPr>
                      <w:r>
                        <w:rPr>
                          <w:rFonts w:asciiTheme="minorEastAsia" w:hAnsiTheme="minorEastAsia" w:hint="eastAsia"/>
                          <w:b/>
                          <w:sz w:val="24"/>
                          <w:szCs w:val="32"/>
                        </w:rPr>
                        <w:t>本概要提供本基金的重要信息，是招募说明书的一部分。</w:t>
                      </w:r>
                    </w:p>
                    <w:p w14:paraId="05BB26E8" w14:textId="77777777" w:rsidR="00530BA3" w:rsidRDefault="00400E6A">
                      <w:pPr>
                        <w:jc w:val="distribute"/>
                        <w:rPr>
                          <w:rFonts w:asciiTheme="minorEastAsia" w:hAnsiTheme="minorEastAsia"/>
                          <w:b/>
                          <w:sz w:val="24"/>
                          <w:szCs w:val="32"/>
                        </w:rPr>
                      </w:pPr>
                      <w:proofErr w:type="gramStart"/>
                      <w:r>
                        <w:rPr>
                          <w:rFonts w:asciiTheme="minorEastAsia" w:hAnsiTheme="minorEastAsia" w:hint="eastAsia"/>
                          <w:b/>
                          <w:sz w:val="24"/>
                          <w:szCs w:val="32"/>
                        </w:rPr>
                        <w:t>作出</w:t>
                      </w:r>
                      <w:proofErr w:type="gramEnd"/>
                      <w:r>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34046A">
        <w:rPr>
          <w:rFonts w:asciiTheme="minorEastAsia" w:hAnsiTheme="minorEastAsia"/>
        </w:rPr>
        <w:t>送出日期</w:t>
      </w:r>
      <w:r w:rsidRPr="0034046A">
        <w:rPr>
          <w:rFonts w:asciiTheme="minorEastAsia" w:hAnsiTheme="minorEastAsia" w:hint="eastAsia"/>
        </w:rPr>
        <w:t>：</w:t>
      </w:r>
      <w:r w:rsidR="00DF6C1C" w:rsidRPr="0034046A">
        <w:rPr>
          <w:rFonts w:asciiTheme="minorEastAsia" w:hAnsiTheme="minorEastAsia"/>
        </w:rPr>
        <w:t>2023</w:t>
      </w:r>
      <w:r w:rsidRPr="0034046A">
        <w:rPr>
          <w:rFonts w:asciiTheme="minorEastAsia" w:hAnsiTheme="minorEastAsia" w:hint="eastAsia"/>
        </w:rPr>
        <w:t>年</w:t>
      </w:r>
      <w:r w:rsidR="0034046A" w:rsidRPr="0034046A">
        <w:rPr>
          <w:rFonts w:asciiTheme="minorEastAsia" w:hAnsiTheme="minorEastAsia"/>
        </w:rPr>
        <w:t>11</w:t>
      </w:r>
      <w:r w:rsidRPr="0034046A">
        <w:rPr>
          <w:rFonts w:asciiTheme="minorEastAsia" w:hAnsiTheme="minorEastAsia" w:hint="eastAsia"/>
        </w:rPr>
        <w:t>月</w:t>
      </w:r>
      <w:r w:rsidR="0034046A" w:rsidRPr="0034046A">
        <w:rPr>
          <w:rFonts w:asciiTheme="minorEastAsia" w:hAnsiTheme="minorEastAsia"/>
        </w:rPr>
        <w:t>3</w:t>
      </w:r>
      <w:r w:rsidRPr="0034046A">
        <w:rPr>
          <w:rFonts w:asciiTheme="minorEastAsia" w:hAnsiTheme="minorEastAsia" w:hint="eastAsia"/>
        </w:rPr>
        <w:t>日</w:t>
      </w:r>
    </w:p>
    <w:p w14:paraId="5C3DC84A" w14:textId="77777777" w:rsidR="00530BA3" w:rsidRPr="0034046A" w:rsidRDefault="00530BA3">
      <w:pPr>
        <w:spacing w:afterLines="50" w:after="156"/>
        <w:jc w:val="right"/>
        <w:rPr>
          <w:rFonts w:ascii="华文仿宋" w:eastAsia="华文仿宋" w:hAnsi="华文仿宋"/>
        </w:rPr>
      </w:pPr>
    </w:p>
    <w:p w14:paraId="4939AE73" w14:textId="77777777" w:rsidR="00530BA3" w:rsidRPr="0034046A" w:rsidRDefault="00530BA3">
      <w:pPr>
        <w:spacing w:afterLines="50" w:after="156"/>
        <w:ind w:right="840"/>
      </w:pPr>
    </w:p>
    <w:p w14:paraId="44E65D60" w14:textId="77777777" w:rsidR="00530BA3" w:rsidRPr="0034046A" w:rsidRDefault="00400E6A">
      <w:pPr>
        <w:rPr>
          <w:rStyle w:val="1"/>
          <w:rFonts w:asciiTheme="minorEastAsia" w:hAnsiTheme="minorEastAsia"/>
          <w:b/>
          <w:i w:val="0"/>
          <w:color w:val="000000"/>
          <w:szCs w:val="21"/>
          <w14:textFill>
            <w14:solidFill>
              <w14:srgbClr w14:val="000000">
                <w14:lumMod w14:val="75000"/>
                <w14:lumOff w14:val="25000"/>
              </w14:srgbClr>
            </w14:solidFill>
          </w14:textFill>
        </w:rPr>
      </w:pPr>
      <w:r w:rsidRPr="0034046A">
        <w:rPr>
          <w:rStyle w:val="1"/>
          <w:rFonts w:asciiTheme="minorEastAsia" w:hAnsiTheme="minorEastAsia" w:hint="eastAsia"/>
          <w:b/>
          <w:i w:val="0"/>
          <w:color w:val="000000"/>
          <w:szCs w:val="21"/>
          <w14:textFill>
            <w14:solidFill>
              <w14:srgbClr w14:val="000000">
                <w14:lumMod w14:val="75000"/>
                <w14:lumOff w14:val="25000"/>
              </w14:srgbClr>
            </w14:solidFill>
          </w14:textFill>
        </w:rPr>
        <w:t>一、产品概况</w:t>
      </w:r>
    </w:p>
    <w:tbl>
      <w:tblPr>
        <w:tblStyle w:val="a7"/>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843"/>
        <w:gridCol w:w="3119"/>
        <w:gridCol w:w="2551"/>
        <w:gridCol w:w="2552"/>
      </w:tblGrid>
      <w:tr w:rsidR="00530BA3" w:rsidRPr="0034046A" w14:paraId="5027EF1B" w14:textId="77777777">
        <w:trPr>
          <w:trHeight w:val="20"/>
        </w:trPr>
        <w:tc>
          <w:tcPr>
            <w:tcW w:w="1843" w:type="dxa"/>
          </w:tcPr>
          <w:p w14:paraId="5498FF6B"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基金简称</w:t>
            </w:r>
          </w:p>
        </w:tc>
        <w:tc>
          <w:tcPr>
            <w:tcW w:w="3119" w:type="dxa"/>
          </w:tcPr>
          <w:p w14:paraId="0C8B9A05"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东方阿尔法</w:t>
            </w:r>
            <w:r w:rsidRPr="0034046A">
              <w:rPr>
                <w:rFonts w:asciiTheme="minorEastAsia" w:hAnsiTheme="minorEastAsia" w:hint="eastAsia"/>
                <w:szCs w:val="21"/>
              </w:rPr>
              <w:t>兴科一年持有</w:t>
            </w:r>
            <w:r w:rsidRPr="0034046A">
              <w:rPr>
                <w:rFonts w:asciiTheme="minorEastAsia" w:hAnsiTheme="minorEastAsia"/>
                <w:szCs w:val="21"/>
              </w:rPr>
              <w:t>混合</w:t>
            </w:r>
          </w:p>
        </w:tc>
        <w:tc>
          <w:tcPr>
            <w:tcW w:w="2551" w:type="dxa"/>
          </w:tcPr>
          <w:p w14:paraId="62A065BD"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基金主代码</w:t>
            </w:r>
          </w:p>
        </w:tc>
        <w:tc>
          <w:tcPr>
            <w:tcW w:w="2552" w:type="dxa"/>
          </w:tcPr>
          <w:p w14:paraId="3E6BFF24" w14:textId="77777777" w:rsidR="00530BA3" w:rsidRPr="0034046A" w:rsidRDefault="00400E6A">
            <w:pPr>
              <w:pStyle w:val="aa"/>
              <w:spacing w:line="360" w:lineRule="exact"/>
              <w:ind w:firstLineChars="0" w:firstLine="0"/>
              <w:rPr>
                <w:rFonts w:asciiTheme="minorEastAsia" w:hAnsiTheme="minorEastAsia"/>
                <w:szCs w:val="21"/>
              </w:rPr>
            </w:pPr>
            <w:r w:rsidRPr="00826ECA">
              <w:rPr>
                <w:rFonts w:asciiTheme="minorEastAsia" w:hAnsiTheme="minorEastAsia" w:hint="eastAsia"/>
                <w:szCs w:val="21"/>
              </w:rPr>
              <w:t>015900</w:t>
            </w:r>
          </w:p>
        </w:tc>
      </w:tr>
      <w:tr w:rsidR="00530BA3" w:rsidRPr="0034046A" w14:paraId="5B38AF18" w14:textId="77777777">
        <w:trPr>
          <w:trHeight w:val="20"/>
        </w:trPr>
        <w:tc>
          <w:tcPr>
            <w:tcW w:w="1843" w:type="dxa"/>
          </w:tcPr>
          <w:p w14:paraId="270CAF49"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下属基金简称</w:t>
            </w:r>
          </w:p>
        </w:tc>
        <w:tc>
          <w:tcPr>
            <w:tcW w:w="3119" w:type="dxa"/>
          </w:tcPr>
          <w:p w14:paraId="2CAD3A25"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东方阿尔法</w:t>
            </w:r>
            <w:r w:rsidRPr="0034046A">
              <w:rPr>
                <w:rFonts w:asciiTheme="minorEastAsia" w:hAnsiTheme="minorEastAsia" w:hint="eastAsia"/>
                <w:szCs w:val="21"/>
              </w:rPr>
              <w:t>兴科一年持有</w:t>
            </w:r>
            <w:r w:rsidRPr="0034046A">
              <w:rPr>
                <w:rFonts w:asciiTheme="minorEastAsia" w:hAnsiTheme="minorEastAsia"/>
                <w:szCs w:val="21"/>
              </w:rPr>
              <w:t>混合A</w:t>
            </w:r>
          </w:p>
        </w:tc>
        <w:tc>
          <w:tcPr>
            <w:tcW w:w="2551" w:type="dxa"/>
          </w:tcPr>
          <w:p w14:paraId="0C9C60E1"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下属基金的基金代码</w:t>
            </w:r>
          </w:p>
        </w:tc>
        <w:tc>
          <w:tcPr>
            <w:tcW w:w="2552" w:type="dxa"/>
          </w:tcPr>
          <w:p w14:paraId="663D5D7F" w14:textId="77777777" w:rsidR="00530BA3" w:rsidRPr="0034046A" w:rsidRDefault="00400E6A">
            <w:pPr>
              <w:pStyle w:val="aa"/>
              <w:spacing w:line="360" w:lineRule="exact"/>
              <w:ind w:firstLineChars="0" w:firstLine="0"/>
              <w:rPr>
                <w:rFonts w:asciiTheme="minorEastAsia" w:hAnsiTheme="minorEastAsia"/>
                <w:szCs w:val="21"/>
              </w:rPr>
            </w:pPr>
            <w:r w:rsidRPr="00826ECA">
              <w:rPr>
                <w:rFonts w:asciiTheme="minorEastAsia" w:hAnsiTheme="minorEastAsia" w:hint="eastAsia"/>
                <w:szCs w:val="21"/>
              </w:rPr>
              <w:t>015900</w:t>
            </w:r>
          </w:p>
        </w:tc>
      </w:tr>
      <w:tr w:rsidR="00530BA3" w:rsidRPr="0034046A" w14:paraId="2C49162D" w14:textId="77777777">
        <w:trPr>
          <w:trHeight w:val="20"/>
        </w:trPr>
        <w:tc>
          <w:tcPr>
            <w:tcW w:w="1843" w:type="dxa"/>
          </w:tcPr>
          <w:p w14:paraId="28A22362"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基金管理人</w:t>
            </w:r>
          </w:p>
        </w:tc>
        <w:tc>
          <w:tcPr>
            <w:tcW w:w="3119" w:type="dxa"/>
            <w:tcBorders>
              <w:bottom w:val="single" w:sz="4" w:space="0" w:color="auto"/>
            </w:tcBorders>
          </w:tcPr>
          <w:p w14:paraId="6F341D26"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东方阿尔法基金管理有限公司</w:t>
            </w:r>
          </w:p>
        </w:tc>
        <w:tc>
          <w:tcPr>
            <w:tcW w:w="2551" w:type="dxa"/>
            <w:tcBorders>
              <w:bottom w:val="single" w:sz="4" w:space="0" w:color="auto"/>
            </w:tcBorders>
          </w:tcPr>
          <w:p w14:paraId="3D4F1DA3"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基金托管人</w:t>
            </w:r>
          </w:p>
        </w:tc>
        <w:tc>
          <w:tcPr>
            <w:tcW w:w="2552" w:type="dxa"/>
            <w:tcBorders>
              <w:bottom w:val="single" w:sz="4" w:space="0" w:color="auto"/>
            </w:tcBorders>
          </w:tcPr>
          <w:p w14:paraId="1F30C02C"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hint="eastAsia"/>
                <w:szCs w:val="21"/>
              </w:rPr>
              <w:t>兴业</w:t>
            </w:r>
            <w:r w:rsidRPr="0034046A">
              <w:rPr>
                <w:rFonts w:asciiTheme="minorEastAsia" w:hAnsiTheme="minorEastAsia"/>
                <w:szCs w:val="21"/>
              </w:rPr>
              <w:t>银行股份有限公司</w:t>
            </w:r>
          </w:p>
        </w:tc>
      </w:tr>
      <w:tr w:rsidR="00530BA3" w:rsidRPr="0034046A" w14:paraId="32BC78BD" w14:textId="77777777">
        <w:trPr>
          <w:trHeight w:val="20"/>
        </w:trPr>
        <w:tc>
          <w:tcPr>
            <w:tcW w:w="1843" w:type="dxa"/>
          </w:tcPr>
          <w:p w14:paraId="0AE48D0D"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基金合同生效日</w:t>
            </w:r>
          </w:p>
        </w:tc>
        <w:tc>
          <w:tcPr>
            <w:tcW w:w="3119" w:type="dxa"/>
            <w:tcBorders>
              <w:right w:val="nil"/>
            </w:tcBorders>
          </w:tcPr>
          <w:p w14:paraId="7D03D0E2" w14:textId="1843AED9" w:rsidR="00530BA3" w:rsidRPr="0034046A" w:rsidRDefault="00DF3A73">
            <w:pPr>
              <w:spacing w:line="360" w:lineRule="exact"/>
              <w:rPr>
                <w:rFonts w:asciiTheme="minorEastAsia" w:hAnsiTheme="minorEastAsia"/>
                <w:szCs w:val="21"/>
              </w:rPr>
            </w:pPr>
            <w:r w:rsidRPr="0034046A">
              <w:rPr>
                <w:rFonts w:asciiTheme="minorEastAsia" w:hAnsiTheme="minorEastAsia"/>
                <w:szCs w:val="21"/>
              </w:rPr>
              <w:t>2022年</w:t>
            </w:r>
            <w:r w:rsidRPr="0034046A">
              <w:rPr>
                <w:rFonts w:asciiTheme="minorEastAsia" w:hAnsiTheme="minorEastAsia" w:hint="eastAsia"/>
                <w:szCs w:val="21"/>
              </w:rPr>
              <w:t>9月2</w:t>
            </w:r>
            <w:r w:rsidRPr="0034046A">
              <w:rPr>
                <w:rFonts w:asciiTheme="minorEastAsia" w:hAnsiTheme="minorEastAsia"/>
                <w:szCs w:val="21"/>
              </w:rPr>
              <w:t>8日</w:t>
            </w:r>
          </w:p>
        </w:tc>
        <w:tc>
          <w:tcPr>
            <w:tcW w:w="2551" w:type="dxa"/>
            <w:tcBorders>
              <w:left w:val="nil"/>
              <w:right w:val="nil"/>
            </w:tcBorders>
          </w:tcPr>
          <w:p w14:paraId="167171E7"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b/>
                <w:szCs w:val="21"/>
              </w:rPr>
              <w:t>上市交易所及上市日期</w:t>
            </w:r>
          </w:p>
        </w:tc>
        <w:tc>
          <w:tcPr>
            <w:tcW w:w="2552" w:type="dxa"/>
            <w:tcBorders>
              <w:left w:val="nil"/>
            </w:tcBorders>
          </w:tcPr>
          <w:p w14:paraId="192B71E1"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暂未上市</w:t>
            </w:r>
          </w:p>
        </w:tc>
      </w:tr>
      <w:tr w:rsidR="00530BA3" w:rsidRPr="0034046A" w14:paraId="654D7844" w14:textId="77777777">
        <w:trPr>
          <w:trHeight w:val="172"/>
        </w:trPr>
        <w:tc>
          <w:tcPr>
            <w:tcW w:w="1843" w:type="dxa"/>
          </w:tcPr>
          <w:p w14:paraId="0370C6C0"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基金类型</w:t>
            </w:r>
          </w:p>
        </w:tc>
        <w:tc>
          <w:tcPr>
            <w:tcW w:w="3119" w:type="dxa"/>
            <w:tcBorders>
              <w:right w:val="nil"/>
            </w:tcBorders>
          </w:tcPr>
          <w:p w14:paraId="1885704B"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混合型</w:t>
            </w:r>
          </w:p>
        </w:tc>
        <w:tc>
          <w:tcPr>
            <w:tcW w:w="2551" w:type="dxa"/>
            <w:tcBorders>
              <w:left w:val="nil"/>
              <w:right w:val="nil"/>
            </w:tcBorders>
          </w:tcPr>
          <w:p w14:paraId="5231BE18"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交易币种</w:t>
            </w:r>
          </w:p>
        </w:tc>
        <w:tc>
          <w:tcPr>
            <w:tcW w:w="2552" w:type="dxa"/>
            <w:tcBorders>
              <w:left w:val="nil"/>
            </w:tcBorders>
          </w:tcPr>
          <w:p w14:paraId="5956782F"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szCs w:val="21"/>
              </w:rPr>
              <w:t>人民币</w:t>
            </w:r>
          </w:p>
        </w:tc>
      </w:tr>
      <w:tr w:rsidR="00530BA3" w:rsidRPr="0034046A" w14:paraId="561C3D83" w14:textId="77777777" w:rsidTr="00F079F9">
        <w:trPr>
          <w:trHeight w:val="1085"/>
        </w:trPr>
        <w:tc>
          <w:tcPr>
            <w:tcW w:w="1843" w:type="dxa"/>
          </w:tcPr>
          <w:p w14:paraId="680BB6B2"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运作方式</w:t>
            </w:r>
          </w:p>
        </w:tc>
        <w:tc>
          <w:tcPr>
            <w:tcW w:w="3119" w:type="dxa"/>
          </w:tcPr>
          <w:p w14:paraId="246CBD62" w14:textId="77777777" w:rsidR="00530BA3" w:rsidRPr="0034046A" w:rsidRDefault="00400E6A">
            <w:pPr>
              <w:pStyle w:val="aa"/>
              <w:spacing w:line="360" w:lineRule="exact"/>
              <w:ind w:firstLineChars="0" w:firstLine="0"/>
              <w:rPr>
                <w:rFonts w:asciiTheme="minorEastAsia" w:hAnsiTheme="minorEastAsia"/>
                <w:szCs w:val="21"/>
              </w:rPr>
            </w:pPr>
            <w:r w:rsidRPr="0034046A">
              <w:rPr>
                <w:rFonts w:asciiTheme="minorEastAsia" w:hAnsiTheme="minorEastAsia" w:hint="eastAsia"/>
                <w:szCs w:val="21"/>
              </w:rPr>
              <w:t>其他</w:t>
            </w:r>
            <w:r w:rsidRPr="0034046A">
              <w:rPr>
                <w:rFonts w:asciiTheme="minorEastAsia" w:hAnsiTheme="minorEastAsia"/>
                <w:szCs w:val="21"/>
              </w:rPr>
              <w:t>开放式</w:t>
            </w:r>
          </w:p>
        </w:tc>
        <w:tc>
          <w:tcPr>
            <w:tcW w:w="2551" w:type="dxa"/>
          </w:tcPr>
          <w:p w14:paraId="7AAA0F98"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开放频率</w:t>
            </w:r>
          </w:p>
        </w:tc>
        <w:tc>
          <w:tcPr>
            <w:tcW w:w="2552" w:type="dxa"/>
          </w:tcPr>
          <w:p w14:paraId="692546DB" w14:textId="77777777" w:rsidR="00530BA3" w:rsidRPr="0034046A" w:rsidRDefault="00400E6A" w:rsidP="00F079F9">
            <w:pPr>
              <w:pStyle w:val="md-size"/>
              <w:shd w:val="clear" w:color="auto" w:fill="FFFFFF"/>
              <w:spacing w:before="180" w:beforeAutospacing="0" w:after="180" w:afterAutospacing="0"/>
              <w:rPr>
                <w:rFonts w:ascii="微软雅黑" w:eastAsia="微软雅黑" w:hAnsi="微软雅黑"/>
                <w:color w:val="444444"/>
                <w:sz w:val="21"/>
                <w:szCs w:val="21"/>
              </w:rPr>
            </w:pPr>
            <w:r w:rsidRPr="0034046A">
              <w:rPr>
                <w:rFonts w:asciiTheme="minorEastAsia" w:eastAsiaTheme="minorEastAsia" w:hAnsiTheme="minorEastAsia" w:cstheme="minorBidi" w:hint="eastAsia"/>
                <w:kern w:val="2"/>
                <w:sz w:val="21"/>
                <w:szCs w:val="21"/>
              </w:rPr>
              <w:t>每个开放日开放申购，每笔认购/申购/转换转入申请所得基金份额持有满一年后每个开放日开放赎回</w:t>
            </w:r>
          </w:p>
        </w:tc>
      </w:tr>
      <w:tr w:rsidR="00530BA3" w:rsidRPr="0034046A" w14:paraId="31E45957" w14:textId="77777777">
        <w:trPr>
          <w:trHeight w:val="20"/>
        </w:trPr>
        <w:tc>
          <w:tcPr>
            <w:tcW w:w="1843" w:type="dxa"/>
            <w:vMerge w:val="restart"/>
            <w:vAlign w:val="center"/>
          </w:tcPr>
          <w:p w14:paraId="1470B165" w14:textId="77777777" w:rsidR="00530BA3" w:rsidRPr="0034046A" w:rsidRDefault="00400E6A">
            <w:pPr>
              <w:pStyle w:val="aa"/>
              <w:spacing w:line="360" w:lineRule="exact"/>
              <w:ind w:firstLineChars="0" w:firstLine="0"/>
              <w:jc w:val="left"/>
              <w:rPr>
                <w:rFonts w:asciiTheme="minorEastAsia" w:hAnsiTheme="minorEastAsia"/>
                <w:b/>
                <w:szCs w:val="21"/>
              </w:rPr>
            </w:pPr>
            <w:r w:rsidRPr="0034046A">
              <w:rPr>
                <w:rFonts w:asciiTheme="minorEastAsia" w:hAnsiTheme="minorEastAsia" w:hint="eastAsia"/>
                <w:b/>
                <w:szCs w:val="21"/>
              </w:rPr>
              <w:t>基金经理</w:t>
            </w:r>
          </w:p>
        </w:tc>
        <w:tc>
          <w:tcPr>
            <w:tcW w:w="3119" w:type="dxa"/>
            <w:vMerge w:val="restart"/>
            <w:vAlign w:val="center"/>
          </w:tcPr>
          <w:p w14:paraId="42522B42" w14:textId="16105E92" w:rsidR="00530BA3" w:rsidRPr="0034046A" w:rsidRDefault="004222D9">
            <w:pPr>
              <w:pStyle w:val="aa"/>
              <w:spacing w:line="360" w:lineRule="exact"/>
              <w:ind w:firstLineChars="0" w:firstLine="0"/>
              <w:jc w:val="left"/>
              <w:rPr>
                <w:rFonts w:asciiTheme="minorEastAsia" w:hAnsiTheme="minorEastAsia"/>
                <w:szCs w:val="21"/>
              </w:rPr>
            </w:pPr>
            <w:r w:rsidRPr="0034046A">
              <w:rPr>
                <w:rFonts w:asciiTheme="minorEastAsia" w:hAnsiTheme="minorEastAsia"/>
                <w:szCs w:val="21"/>
              </w:rPr>
              <w:t>尹智斌</w:t>
            </w:r>
          </w:p>
        </w:tc>
        <w:tc>
          <w:tcPr>
            <w:tcW w:w="2551" w:type="dxa"/>
          </w:tcPr>
          <w:p w14:paraId="65526C53"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开始担任本基金基金经理的日期</w:t>
            </w:r>
          </w:p>
        </w:tc>
        <w:tc>
          <w:tcPr>
            <w:tcW w:w="2552" w:type="dxa"/>
          </w:tcPr>
          <w:p w14:paraId="261294D4" w14:textId="7BA0BF3C" w:rsidR="00530BA3" w:rsidRPr="0034046A" w:rsidRDefault="0034046A">
            <w:pPr>
              <w:pStyle w:val="aa"/>
              <w:spacing w:line="360" w:lineRule="exact"/>
              <w:ind w:firstLineChars="0" w:firstLine="0"/>
              <w:rPr>
                <w:rFonts w:asciiTheme="minorEastAsia" w:hAnsiTheme="minorEastAsia"/>
                <w:szCs w:val="21"/>
              </w:rPr>
            </w:pPr>
            <w:r w:rsidRPr="0034046A">
              <w:rPr>
                <w:rFonts w:asciiTheme="minorEastAsia" w:hAnsiTheme="minorEastAsia"/>
                <w:szCs w:val="21"/>
              </w:rPr>
              <w:t>2023</w:t>
            </w:r>
            <w:r w:rsidRPr="0034046A">
              <w:rPr>
                <w:rFonts w:asciiTheme="minorEastAsia" w:hAnsiTheme="minorEastAsia" w:hint="eastAsia"/>
                <w:szCs w:val="21"/>
              </w:rPr>
              <w:t>-</w:t>
            </w:r>
            <w:r w:rsidRPr="0034046A">
              <w:rPr>
                <w:rFonts w:asciiTheme="minorEastAsia" w:hAnsiTheme="minorEastAsia"/>
                <w:szCs w:val="21"/>
              </w:rPr>
              <w:t>11</w:t>
            </w:r>
            <w:r w:rsidRPr="0034046A">
              <w:rPr>
                <w:rFonts w:asciiTheme="minorEastAsia" w:hAnsiTheme="minorEastAsia" w:hint="eastAsia"/>
                <w:szCs w:val="21"/>
              </w:rPr>
              <w:t>-</w:t>
            </w:r>
            <w:r w:rsidRPr="0034046A">
              <w:rPr>
                <w:rFonts w:asciiTheme="minorEastAsia" w:hAnsiTheme="minorEastAsia"/>
                <w:szCs w:val="21"/>
              </w:rPr>
              <w:t>01</w:t>
            </w:r>
          </w:p>
        </w:tc>
      </w:tr>
      <w:tr w:rsidR="00530BA3" w:rsidRPr="0034046A" w14:paraId="2785FC81" w14:textId="77777777">
        <w:trPr>
          <w:trHeight w:val="20"/>
        </w:trPr>
        <w:tc>
          <w:tcPr>
            <w:tcW w:w="1843" w:type="dxa"/>
            <w:vMerge/>
          </w:tcPr>
          <w:p w14:paraId="20442DA8" w14:textId="77777777" w:rsidR="00530BA3" w:rsidRPr="0034046A" w:rsidRDefault="00530BA3">
            <w:pPr>
              <w:pStyle w:val="aa"/>
              <w:spacing w:line="360" w:lineRule="exact"/>
              <w:ind w:firstLineChars="0" w:firstLine="0"/>
              <w:rPr>
                <w:rFonts w:asciiTheme="minorEastAsia" w:hAnsiTheme="minorEastAsia"/>
                <w:b/>
                <w:szCs w:val="21"/>
              </w:rPr>
            </w:pPr>
          </w:p>
        </w:tc>
        <w:tc>
          <w:tcPr>
            <w:tcW w:w="3119" w:type="dxa"/>
            <w:vMerge/>
          </w:tcPr>
          <w:p w14:paraId="729851B5" w14:textId="77777777" w:rsidR="00530BA3" w:rsidRPr="0034046A" w:rsidRDefault="00530BA3">
            <w:pPr>
              <w:pStyle w:val="aa"/>
              <w:spacing w:line="360" w:lineRule="exact"/>
              <w:ind w:firstLineChars="0" w:firstLine="0"/>
              <w:rPr>
                <w:rFonts w:asciiTheme="minorEastAsia" w:hAnsiTheme="minorEastAsia"/>
                <w:b/>
                <w:szCs w:val="21"/>
              </w:rPr>
            </w:pPr>
          </w:p>
        </w:tc>
        <w:tc>
          <w:tcPr>
            <w:tcW w:w="2551" w:type="dxa"/>
          </w:tcPr>
          <w:p w14:paraId="58837820" w14:textId="77777777" w:rsidR="00530BA3" w:rsidRPr="0034046A" w:rsidRDefault="00400E6A">
            <w:pPr>
              <w:pStyle w:val="aa"/>
              <w:spacing w:line="360" w:lineRule="exact"/>
              <w:ind w:firstLineChars="0" w:firstLine="0"/>
              <w:rPr>
                <w:rFonts w:asciiTheme="minorEastAsia" w:hAnsiTheme="minorEastAsia"/>
                <w:b/>
                <w:szCs w:val="21"/>
              </w:rPr>
            </w:pPr>
            <w:r w:rsidRPr="0034046A">
              <w:rPr>
                <w:rFonts w:asciiTheme="minorEastAsia" w:hAnsiTheme="minorEastAsia" w:hint="eastAsia"/>
                <w:b/>
                <w:szCs w:val="21"/>
              </w:rPr>
              <w:t>证券从业日期</w:t>
            </w:r>
          </w:p>
        </w:tc>
        <w:tc>
          <w:tcPr>
            <w:tcW w:w="2552" w:type="dxa"/>
          </w:tcPr>
          <w:p w14:paraId="46A448B4" w14:textId="042B4DB6" w:rsidR="00530BA3" w:rsidRPr="0034046A" w:rsidRDefault="00F77C06">
            <w:pPr>
              <w:pStyle w:val="aa"/>
              <w:spacing w:line="360" w:lineRule="exact"/>
              <w:ind w:firstLineChars="0" w:firstLine="0"/>
              <w:rPr>
                <w:rFonts w:asciiTheme="minorEastAsia" w:hAnsiTheme="minorEastAsia"/>
                <w:szCs w:val="21"/>
              </w:rPr>
            </w:pPr>
            <w:r w:rsidRPr="0034046A">
              <w:rPr>
                <w:rFonts w:asciiTheme="minorEastAsia" w:hAnsiTheme="minorEastAsia"/>
                <w:szCs w:val="21"/>
              </w:rPr>
              <w:t>2018</w:t>
            </w:r>
            <w:r w:rsidRPr="0034046A">
              <w:rPr>
                <w:rFonts w:asciiTheme="minorEastAsia" w:hAnsiTheme="minorEastAsia" w:hint="eastAsia"/>
                <w:szCs w:val="21"/>
              </w:rPr>
              <w:t>-</w:t>
            </w:r>
            <w:r w:rsidRPr="0034046A">
              <w:rPr>
                <w:rFonts w:asciiTheme="minorEastAsia" w:hAnsiTheme="minorEastAsia"/>
                <w:szCs w:val="21"/>
              </w:rPr>
              <w:t>08</w:t>
            </w:r>
            <w:r w:rsidRPr="0034046A">
              <w:rPr>
                <w:rFonts w:asciiTheme="minorEastAsia" w:hAnsiTheme="minorEastAsia" w:hint="eastAsia"/>
                <w:szCs w:val="21"/>
              </w:rPr>
              <w:t>-</w:t>
            </w:r>
            <w:r w:rsidRPr="0034046A">
              <w:rPr>
                <w:rFonts w:asciiTheme="minorEastAsia" w:hAnsiTheme="minorEastAsia"/>
                <w:szCs w:val="21"/>
              </w:rPr>
              <w:t>06</w:t>
            </w:r>
          </w:p>
        </w:tc>
      </w:tr>
    </w:tbl>
    <w:p w14:paraId="5A34B5E8" w14:textId="77777777" w:rsidR="00530BA3" w:rsidRPr="0034046A" w:rsidRDefault="00400E6A">
      <w:pPr>
        <w:spacing w:line="340" w:lineRule="exact"/>
        <w:rPr>
          <w:rFonts w:asciiTheme="minorEastAsia" w:hAnsiTheme="minorEastAsia"/>
          <w:szCs w:val="21"/>
        </w:rPr>
      </w:pPr>
      <w:r w:rsidRPr="0034046A">
        <w:rPr>
          <w:rFonts w:asciiTheme="minorEastAsia" w:hAnsiTheme="minorEastAsia" w:hint="eastAsia"/>
          <w:szCs w:val="21"/>
        </w:rPr>
        <w:t>注：《基金合同》生效后，连续50个工作日出现基金份额持有人数量不满200人或者基金资产净值低于5000万元情形的，基金管理人将终止基金合同，并按照基金合同约定程序进行清算，此事项不需要召开基金份额持有人大会进行表决。</w:t>
      </w:r>
    </w:p>
    <w:p w14:paraId="33336557" w14:textId="77777777" w:rsidR="00530BA3" w:rsidRPr="0034046A" w:rsidRDefault="00530BA3">
      <w:pPr>
        <w:spacing w:line="340" w:lineRule="exact"/>
        <w:rPr>
          <w:rFonts w:asciiTheme="minorEastAsia" w:hAnsiTheme="minorEastAsia"/>
          <w:b/>
          <w:szCs w:val="21"/>
        </w:rPr>
      </w:pPr>
    </w:p>
    <w:p w14:paraId="55C38F33" w14:textId="77777777" w:rsidR="00530BA3" w:rsidRPr="0034046A" w:rsidRDefault="00400E6A">
      <w:pPr>
        <w:spacing w:line="340" w:lineRule="exact"/>
        <w:rPr>
          <w:rFonts w:asciiTheme="minorEastAsia" w:hAnsiTheme="minorEastAsia"/>
          <w:b/>
          <w:szCs w:val="21"/>
        </w:rPr>
      </w:pPr>
      <w:r w:rsidRPr="0034046A">
        <w:rPr>
          <w:rFonts w:asciiTheme="minorEastAsia" w:hAnsiTheme="minorEastAsia"/>
          <w:b/>
          <w:szCs w:val="21"/>
        </w:rPr>
        <w:t>二</w:t>
      </w:r>
      <w:r w:rsidRPr="0034046A">
        <w:rPr>
          <w:rFonts w:asciiTheme="minorEastAsia" w:hAnsiTheme="minorEastAsia" w:hint="eastAsia"/>
          <w:b/>
          <w:szCs w:val="21"/>
        </w:rPr>
        <w:t>、基金投资与净值表现</w:t>
      </w:r>
    </w:p>
    <w:p w14:paraId="4A597423" w14:textId="77777777" w:rsidR="00530BA3" w:rsidRPr="0034046A" w:rsidRDefault="00400E6A">
      <w:pPr>
        <w:spacing w:line="340" w:lineRule="exact"/>
        <w:rPr>
          <w:rFonts w:asciiTheme="minorEastAsia" w:hAnsiTheme="minorEastAsia"/>
          <w:b/>
          <w:szCs w:val="21"/>
        </w:rPr>
      </w:pPr>
      <w:r w:rsidRPr="0034046A">
        <w:rPr>
          <w:rFonts w:asciiTheme="minorEastAsia" w:hAnsiTheme="minorEastAsia" w:hint="eastAsia"/>
          <w:b/>
          <w:szCs w:val="21"/>
        </w:rPr>
        <w:t>（一）投资目标与投资策略</w:t>
      </w:r>
    </w:p>
    <w:p w14:paraId="64C95009" w14:textId="2C592949"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szCs w:val="21"/>
        </w:rPr>
        <w:t>详见</w:t>
      </w:r>
      <w:r w:rsidRPr="0034046A">
        <w:rPr>
          <w:rFonts w:asciiTheme="minorEastAsia" w:hAnsiTheme="minorEastAsia" w:hint="eastAsia"/>
          <w:szCs w:val="21"/>
        </w:rPr>
        <w:t>《东方阿尔法兴科一年持有期混合</w:t>
      </w:r>
      <w:r w:rsidRPr="0034046A">
        <w:rPr>
          <w:rFonts w:asciiTheme="minorEastAsia" w:hAnsiTheme="minorEastAsia"/>
          <w:szCs w:val="21"/>
        </w:rPr>
        <w:t>型证券投资基金</w:t>
      </w:r>
      <w:r w:rsidR="00DF3A73" w:rsidRPr="0034046A">
        <w:rPr>
          <w:rFonts w:asciiTheme="minorEastAsia" w:hAnsiTheme="minorEastAsia"/>
          <w:szCs w:val="21"/>
        </w:rPr>
        <w:t>招募说明书</w:t>
      </w:r>
      <w:r w:rsidRPr="0034046A">
        <w:rPr>
          <w:rFonts w:asciiTheme="minorEastAsia" w:hAnsiTheme="minorEastAsia" w:hint="eastAsia"/>
          <w:szCs w:val="21"/>
        </w:rPr>
        <w:t>》第</w:t>
      </w:r>
      <w:r w:rsidR="00DF3A73" w:rsidRPr="0034046A">
        <w:rPr>
          <w:rFonts w:asciiTheme="minorEastAsia" w:hAnsiTheme="minorEastAsia"/>
          <w:szCs w:val="21"/>
        </w:rPr>
        <w:t>九</w:t>
      </w:r>
      <w:r w:rsidRPr="0034046A">
        <w:rPr>
          <w:rFonts w:asciiTheme="minorEastAsia" w:hAnsiTheme="minorEastAsia" w:hint="eastAsia"/>
          <w:szCs w:val="21"/>
        </w:rPr>
        <w:t>部分“基金的投资”。</w:t>
      </w:r>
    </w:p>
    <w:tbl>
      <w:tblPr>
        <w:tblStyle w:val="a7"/>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530BA3" w:rsidRPr="0034046A" w14:paraId="6FF5CF17" w14:textId="77777777">
        <w:tc>
          <w:tcPr>
            <w:tcW w:w="1940" w:type="dxa"/>
          </w:tcPr>
          <w:p w14:paraId="1A1043A3" w14:textId="77777777" w:rsidR="00530BA3" w:rsidRPr="0034046A" w:rsidRDefault="00400E6A">
            <w:pPr>
              <w:spacing w:line="360" w:lineRule="exact"/>
              <w:rPr>
                <w:rFonts w:asciiTheme="minorEastAsia" w:hAnsiTheme="minorEastAsia"/>
                <w:b/>
                <w:szCs w:val="21"/>
              </w:rPr>
            </w:pPr>
            <w:r w:rsidRPr="0034046A">
              <w:rPr>
                <w:rFonts w:asciiTheme="minorEastAsia" w:hAnsiTheme="minorEastAsia" w:hint="eastAsia"/>
                <w:b/>
                <w:szCs w:val="21"/>
              </w:rPr>
              <w:t>投资目标</w:t>
            </w:r>
          </w:p>
        </w:tc>
        <w:tc>
          <w:tcPr>
            <w:tcW w:w="7924" w:type="dxa"/>
          </w:tcPr>
          <w:p w14:paraId="7CFF79EF" w14:textId="77777777" w:rsidR="00530BA3" w:rsidRPr="0034046A" w:rsidRDefault="00400E6A">
            <w:pPr>
              <w:spacing w:line="360" w:lineRule="exact"/>
              <w:ind w:firstLineChars="200" w:firstLine="420"/>
              <w:rPr>
                <w:rFonts w:asciiTheme="minorEastAsia" w:hAnsiTheme="minorEastAsia"/>
                <w:bCs/>
                <w:szCs w:val="21"/>
              </w:rPr>
            </w:pPr>
            <w:r w:rsidRPr="0034046A">
              <w:rPr>
                <w:rFonts w:asciiTheme="minorEastAsia" w:hAnsiTheme="minorEastAsia" w:hint="eastAsia"/>
                <w:bCs/>
                <w:szCs w:val="21"/>
              </w:rPr>
              <w:t>本基金在有效控制组合风险并保持良好流动性的前提下，通过深入研究、优选个股、主动的投资管理方式力求实现组合资产的稳健增值。</w:t>
            </w:r>
          </w:p>
        </w:tc>
      </w:tr>
      <w:tr w:rsidR="00530BA3" w:rsidRPr="0034046A" w14:paraId="675400F3" w14:textId="77777777">
        <w:tc>
          <w:tcPr>
            <w:tcW w:w="1940" w:type="dxa"/>
          </w:tcPr>
          <w:p w14:paraId="44169C91" w14:textId="77777777" w:rsidR="00530BA3" w:rsidRPr="0034046A" w:rsidRDefault="00400E6A">
            <w:pPr>
              <w:spacing w:line="360" w:lineRule="exact"/>
              <w:rPr>
                <w:rFonts w:asciiTheme="minorEastAsia" w:hAnsiTheme="minorEastAsia"/>
                <w:b/>
                <w:szCs w:val="21"/>
              </w:rPr>
            </w:pPr>
            <w:r w:rsidRPr="0034046A">
              <w:rPr>
                <w:rFonts w:asciiTheme="minorEastAsia" w:hAnsiTheme="minorEastAsia" w:hint="eastAsia"/>
                <w:b/>
                <w:szCs w:val="21"/>
              </w:rPr>
              <w:t>投资范围</w:t>
            </w:r>
          </w:p>
        </w:tc>
        <w:tc>
          <w:tcPr>
            <w:tcW w:w="7924" w:type="dxa"/>
          </w:tcPr>
          <w:p w14:paraId="32814037" w14:textId="77777777" w:rsidR="00530BA3" w:rsidRPr="0034046A" w:rsidRDefault="00400E6A">
            <w:pPr>
              <w:spacing w:line="360" w:lineRule="exact"/>
              <w:ind w:firstLineChars="200" w:firstLine="420"/>
              <w:rPr>
                <w:rFonts w:asciiTheme="minorEastAsia" w:hAnsiTheme="minorEastAsia"/>
                <w:bCs/>
                <w:szCs w:val="21"/>
              </w:rPr>
            </w:pPr>
            <w:r w:rsidRPr="0034046A">
              <w:rPr>
                <w:rFonts w:asciiTheme="minorEastAsia" w:hAnsiTheme="minorEastAsia" w:hint="eastAsia"/>
                <w:bCs/>
                <w:szCs w:val="21"/>
              </w:rPr>
              <w:t>本基金的投资范围为具有良好流动性的金融工具，包括国内依法发行上市的股票（包括主板、创业板及其他中国证监会允许基金投资的股票及存托凭证）、港股通标的股票（包括沪港通股票及深港通股票）、债券（包括国内依法发行和上市交易的国债、金融债、企业债、公司债、公开发行的次级债、地方政府债券、可转换债券、分离交易可转债的纯债部分、可交换债、央行票据、中期票据、证券公司短期公司债券、短期融资券、超短期融资券）、资产支持证券、债券回购、货币市场工具、同业存单、银行存款（包括协议存款、定期存款及其他银行存款）、股指期货、国债期货、股票期权以及法律法规或中国证监会允许基金投资的其他金融工具（但须符合中国证监会的相关规定）。本基金将根据法律法规的规定参与融资融券业务中的融资业务。</w:t>
            </w:r>
          </w:p>
          <w:p w14:paraId="23895A25" w14:textId="77777777" w:rsidR="00530BA3" w:rsidRPr="0034046A" w:rsidRDefault="00400E6A">
            <w:pPr>
              <w:spacing w:line="360" w:lineRule="exact"/>
              <w:ind w:firstLineChars="200" w:firstLine="420"/>
              <w:rPr>
                <w:rFonts w:asciiTheme="minorEastAsia" w:hAnsiTheme="minorEastAsia"/>
                <w:bCs/>
                <w:szCs w:val="21"/>
              </w:rPr>
            </w:pPr>
            <w:r w:rsidRPr="0034046A">
              <w:rPr>
                <w:rFonts w:asciiTheme="minorEastAsia" w:hAnsiTheme="minorEastAsia" w:hint="eastAsia"/>
                <w:bCs/>
                <w:szCs w:val="21"/>
              </w:rPr>
              <w:lastRenderedPageBreak/>
              <w:t>基金的投资组合比例为：本基金投资组合中股票资产投资比例为基金资产的60%-95%，其中对港股通标的股票（包括沪港通股票及深港通股票）的投资比例不超过股票资产的50%。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tc>
      </w:tr>
      <w:tr w:rsidR="00530BA3" w:rsidRPr="0034046A" w14:paraId="46849395" w14:textId="77777777">
        <w:tc>
          <w:tcPr>
            <w:tcW w:w="1940" w:type="dxa"/>
          </w:tcPr>
          <w:p w14:paraId="1CB55D5F" w14:textId="77777777" w:rsidR="00530BA3" w:rsidRPr="0034046A" w:rsidRDefault="00400E6A">
            <w:pPr>
              <w:spacing w:line="360" w:lineRule="exact"/>
              <w:rPr>
                <w:rFonts w:asciiTheme="minorEastAsia" w:hAnsiTheme="minorEastAsia"/>
                <w:b/>
                <w:szCs w:val="21"/>
              </w:rPr>
            </w:pPr>
            <w:r w:rsidRPr="0034046A">
              <w:rPr>
                <w:rFonts w:asciiTheme="minorEastAsia" w:hAnsiTheme="minorEastAsia" w:hint="eastAsia"/>
                <w:b/>
                <w:szCs w:val="21"/>
              </w:rPr>
              <w:lastRenderedPageBreak/>
              <w:t>主要投资策略</w:t>
            </w:r>
          </w:p>
        </w:tc>
        <w:tc>
          <w:tcPr>
            <w:tcW w:w="7924" w:type="dxa"/>
          </w:tcPr>
          <w:p w14:paraId="74CBB8FC" w14:textId="77777777" w:rsidR="00530BA3" w:rsidRPr="0034046A" w:rsidRDefault="00400E6A">
            <w:pPr>
              <w:spacing w:line="360" w:lineRule="exact"/>
              <w:ind w:firstLineChars="200" w:firstLine="420"/>
              <w:rPr>
                <w:rFonts w:asciiTheme="minorEastAsia" w:hAnsiTheme="minorEastAsia"/>
                <w:bCs/>
                <w:szCs w:val="21"/>
              </w:rPr>
            </w:pPr>
            <w:r w:rsidRPr="0034046A">
              <w:rPr>
                <w:rFonts w:asciiTheme="minorEastAsia" w:hAnsiTheme="minorEastAsia" w:hint="eastAsia"/>
                <w:bCs/>
                <w:szCs w:val="21"/>
              </w:rPr>
              <w:t>本基金以产业投资的视角看景气度上行产业中具备先锋优势的优质上市公司，主要体现在：上市公司所处产业景气度向上具备产业级别投资机会，或者上市公司在该产业中从经营模式、市场格局、竞争壁垒、竞争优势、产能投放、研发投入、新业务拓展和公司治理等方面来看具备先锋领先优势。通过产业精选和个股研究相结合，一方面通过产业精选分析产业景气周期的变化和产业格局的变化，筛选具备投资机会的产业；另一方面，通过对公司定性分析、经营分析和估值探讨，判断公司投资价值。选择在景气度上行产业内具有先锋优势的优质上市公司，构成本基金的投资组合。</w:t>
            </w:r>
          </w:p>
        </w:tc>
      </w:tr>
      <w:tr w:rsidR="00530BA3" w:rsidRPr="0034046A" w14:paraId="24C0F408" w14:textId="77777777">
        <w:tc>
          <w:tcPr>
            <w:tcW w:w="1940" w:type="dxa"/>
          </w:tcPr>
          <w:p w14:paraId="671E94AB" w14:textId="77777777" w:rsidR="00530BA3" w:rsidRPr="0034046A" w:rsidRDefault="00400E6A">
            <w:pPr>
              <w:spacing w:line="360" w:lineRule="exact"/>
              <w:rPr>
                <w:rFonts w:asciiTheme="minorEastAsia" w:hAnsiTheme="minorEastAsia"/>
                <w:b/>
                <w:szCs w:val="21"/>
              </w:rPr>
            </w:pPr>
            <w:r w:rsidRPr="0034046A">
              <w:rPr>
                <w:rFonts w:asciiTheme="minorEastAsia" w:hAnsiTheme="minorEastAsia" w:hint="eastAsia"/>
                <w:b/>
                <w:szCs w:val="21"/>
              </w:rPr>
              <w:t>业绩比较基准</w:t>
            </w:r>
          </w:p>
        </w:tc>
        <w:tc>
          <w:tcPr>
            <w:tcW w:w="7924" w:type="dxa"/>
          </w:tcPr>
          <w:p w14:paraId="1B3A4049" w14:textId="77777777" w:rsidR="00530BA3" w:rsidRPr="0034046A" w:rsidRDefault="00400E6A">
            <w:pPr>
              <w:spacing w:line="360" w:lineRule="exact"/>
              <w:rPr>
                <w:rFonts w:asciiTheme="minorEastAsia" w:hAnsiTheme="minorEastAsia"/>
                <w:szCs w:val="21"/>
              </w:rPr>
            </w:pPr>
            <w:r w:rsidRPr="0034046A">
              <w:rPr>
                <w:rFonts w:asciiTheme="minorEastAsia" w:hAnsiTheme="minorEastAsia" w:hint="eastAsia"/>
                <w:szCs w:val="21"/>
              </w:rPr>
              <w:t>中证800指数收益率×60%+中证综合债券指数收益率×20%+恒生指数收益率×20%</w:t>
            </w:r>
          </w:p>
        </w:tc>
      </w:tr>
      <w:tr w:rsidR="00530BA3" w:rsidRPr="0034046A" w14:paraId="6108F2F9" w14:textId="77777777">
        <w:tc>
          <w:tcPr>
            <w:tcW w:w="1940" w:type="dxa"/>
          </w:tcPr>
          <w:p w14:paraId="195EA3A3" w14:textId="77777777" w:rsidR="00530BA3" w:rsidRPr="0034046A" w:rsidRDefault="00400E6A">
            <w:pPr>
              <w:spacing w:line="360" w:lineRule="exact"/>
              <w:rPr>
                <w:rFonts w:asciiTheme="minorEastAsia" w:hAnsiTheme="minorEastAsia"/>
                <w:b/>
                <w:szCs w:val="21"/>
              </w:rPr>
            </w:pPr>
            <w:r w:rsidRPr="0034046A">
              <w:rPr>
                <w:rFonts w:asciiTheme="minorEastAsia" w:hAnsiTheme="minorEastAsia" w:hint="eastAsia"/>
                <w:b/>
                <w:szCs w:val="21"/>
              </w:rPr>
              <w:t>风险收益特征</w:t>
            </w:r>
          </w:p>
        </w:tc>
        <w:tc>
          <w:tcPr>
            <w:tcW w:w="7924" w:type="dxa"/>
          </w:tcPr>
          <w:p w14:paraId="5EB857B0" w14:textId="77777777" w:rsidR="00530BA3" w:rsidRPr="0034046A" w:rsidRDefault="00400E6A">
            <w:pPr>
              <w:ind w:firstLineChars="200" w:firstLine="420"/>
              <w:rPr>
                <w:szCs w:val="21"/>
              </w:rPr>
            </w:pPr>
            <w:r w:rsidRPr="0034046A">
              <w:rPr>
                <w:rFonts w:ascii="宋体" w:hAnsi="宋体" w:hint="eastAsia"/>
                <w:bCs/>
              </w:rPr>
              <w:t>本基金为混合型基金，其预期收益和风险高于货币型基金、债券型基金。本基金除了投资于A股市场优质企业外，还可在法律法规规定的范围内投资港股通标的股票（包括沪港通股票及深港通股票）。除了需要承担与境内证券投资基金类似的市场波动风险等一般投资风险之外，本基金还面临汇率风险、香港市场风险等境外证券市场投资所面临的特别投资风险。</w:t>
            </w:r>
          </w:p>
        </w:tc>
      </w:tr>
    </w:tbl>
    <w:p w14:paraId="2F5E13D9" w14:textId="239AE0CC" w:rsidR="00530BA3" w:rsidRPr="0034046A" w:rsidRDefault="005D7E43">
      <w:pPr>
        <w:spacing w:line="340" w:lineRule="exact"/>
        <w:contextualSpacing/>
        <w:rPr>
          <w:rFonts w:asciiTheme="minorEastAsia" w:hAnsiTheme="minorEastAsia"/>
          <w:szCs w:val="21"/>
        </w:rPr>
      </w:pPr>
      <w:r w:rsidRPr="0034046A">
        <w:rPr>
          <w:rFonts w:asciiTheme="minorEastAsia" w:hAnsiTheme="minorEastAsia" w:hint="eastAsia"/>
          <w:szCs w:val="21"/>
        </w:rPr>
        <w:t>注：不同的销售机构采用的评价方法不同，本法律文件风险收益特征表述与销售机构基金风险评价可能存在不一致的风险，投资人在申购本基金时需按照销售机构的要求完成风险承受能力与产品风险之间的匹配检验。</w:t>
      </w:r>
    </w:p>
    <w:p w14:paraId="78BFB474" w14:textId="77B559B0" w:rsidR="005D7E43" w:rsidRPr="0034046A" w:rsidRDefault="005D7E43">
      <w:pPr>
        <w:spacing w:line="340" w:lineRule="exact"/>
        <w:contextualSpacing/>
        <w:rPr>
          <w:rFonts w:asciiTheme="minorEastAsia" w:hAnsiTheme="minorEastAsia"/>
          <w:b/>
          <w:szCs w:val="21"/>
        </w:rPr>
      </w:pPr>
    </w:p>
    <w:p w14:paraId="472C3A0F" w14:textId="6C775EF9"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（二）投资组合资产配置图表/区域配置图表</w:t>
      </w:r>
    </w:p>
    <w:p w14:paraId="06BC1D35" w14:textId="237CBE32"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投资组合资产配置图表</w:t>
      </w:r>
    </w:p>
    <w:p w14:paraId="79B91FDD" w14:textId="443C7C92" w:rsidR="00530BA3" w:rsidRPr="0034046A" w:rsidRDefault="0068660C">
      <w:pPr>
        <w:spacing w:line="340" w:lineRule="exact"/>
        <w:contextualSpacing/>
        <w:rPr>
          <w:rFonts w:asciiTheme="minorEastAsia" w:hAnsiTheme="minorEastAsia"/>
          <w:szCs w:val="21"/>
        </w:rPr>
      </w:pPr>
      <w:bookmarkStart w:id="0" w:name="_GoBack"/>
      <w:r>
        <w:rPr>
          <w:rFonts w:asciiTheme="minorEastAsia" w:hAnsiTheme="minorEastAsia"/>
          <w:noProof/>
          <w:szCs w:val="21"/>
        </w:rPr>
        <w:drawing>
          <wp:anchor distT="0" distB="0" distL="114300" distR="114300" simplePos="0" relativeHeight="251662336" behindDoc="0" locked="0" layoutInCell="1" allowOverlap="1" wp14:anchorId="5EA2251B" wp14:editId="7FF0FDA3">
            <wp:simplePos x="0" y="0"/>
            <wp:positionH relativeFrom="column">
              <wp:posOffset>1014095</wp:posOffset>
            </wp:positionH>
            <wp:positionV relativeFrom="paragraph">
              <wp:posOffset>108585</wp:posOffset>
            </wp:positionV>
            <wp:extent cx="4085112" cy="2410090"/>
            <wp:effectExtent l="0" t="0" r="0" b="952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5112" cy="2410090"/>
                    </a:xfrm>
                    <a:prstGeom prst="rect">
                      <a:avLst/>
                    </a:prstGeom>
                    <a:noFill/>
                  </pic:spPr>
                </pic:pic>
              </a:graphicData>
            </a:graphic>
            <wp14:sizeRelH relativeFrom="page">
              <wp14:pctWidth>0</wp14:pctWidth>
            </wp14:sizeRelH>
            <wp14:sizeRelV relativeFrom="page">
              <wp14:pctHeight>0</wp14:pctHeight>
            </wp14:sizeRelV>
          </wp:anchor>
        </w:drawing>
      </w:r>
      <w:bookmarkEnd w:id="0"/>
    </w:p>
    <w:p w14:paraId="76E3FABE" w14:textId="733B47C0" w:rsidR="00F079F9" w:rsidRPr="0034046A" w:rsidRDefault="00F079F9">
      <w:pPr>
        <w:spacing w:line="340" w:lineRule="exact"/>
        <w:contextualSpacing/>
        <w:rPr>
          <w:rFonts w:asciiTheme="minorEastAsia" w:hAnsiTheme="minorEastAsia"/>
          <w:szCs w:val="21"/>
        </w:rPr>
      </w:pPr>
    </w:p>
    <w:p w14:paraId="23173619" w14:textId="2E918394" w:rsidR="00F079F9" w:rsidRPr="0034046A" w:rsidRDefault="00F079F9">
      <w:pPr>
        <w:spacing w:line="340" w:lineRule="exact"/>
        <w:contextualSpacing/>
        <w:rPr>
          <w:rFonts w:asciiTheme="minorEastAsia" w:hAnsiTheme="minorEastAsia"/>
          <w:szCs w:val="21"/>
        </w:rPr>
      </w:pPr>
    </w:p>
    <w:p w14:paraId="4C832649" w14:textId="77777777" w:rsidR="00F079F9" w:rsidRPr="0034046A" w:rsidRDefault="00F079F9">
      <w:pPr>
        <w:spacing w:line="340" w:lineRule="exact"/>
        <w:contextualSpacing/>
        <w:rPr>
          <w:rFonts w:asciiTheme="minorEastAsia" w:hAnsiTheme="minorEastAsia"/>
          <w:szCs w:val="21"/>
        </w:rPr>
      </w:pPr>
    </w:p>
    <w:p w14:paraId="5E60AA1D" w14:textId="77777777" w:rsidR="00F079F9" w:rsidRPr="0034046A" w:rsidRDefault="00F079F9">
      <w:pPr>
        <w:spacing w:line="340" w:lineRule="exact"/>
        <w:contextualSpacing/>
        <w:rPr>
          <w:rFonts w:asciiTheme="minorEastAsia" w:hAnsiTheme="minorEastAsia"/>
          <w:szCs w:val="21"/>
        </w:rPr>
      </w:pPr>
    </w:p>
    <w:p w14:paraId="3D6B1472" w14:textId="77777777" w:rsidR="00F079F9" w:rsidRPr="0034046A" w:rsidRDefault="00F079F9">
      <w:pPr>
        <w:spacing w:line="340" w:lineRule="exact"/>
        <w:contextualSpacing/>
        <w:rPr>
          <w:rFonts w:asciiTheme="minorEastAsia" w:hAnsiTheme="minorEastAsia"/>
          <w:szCs w:val="21"/>
        </w:rPr>
      </w:pPr>
    </w:p>
    <w:p w14:paraId="4FFC2132" w14:textId="77777777" w:rsidR="00F079F9" w:rsidRPr="0034046A" w:rsidRDefault="00F079F9">
      <w:pPr>
        <w:spacing w:line="340" w:lineRule="exact"/>
        <w:contextualSpacing/>
        <w:rPr>
          <w:rFonts w:asciiTheme="minorEastAsia" w:hAnsiTheme="minorEastAsia"/>
          <w:szCs w:val="21"/>
        </w:rPr>
      </w:pPr>
    </w:p>
    <w:p w14:paraId="24309509" w14:textId="77777777" w:rsidR="00F079F9" w:rsidRPr="0034046A" w:rsidRDefault="00F079F9">
      <w:pPr>
        <w:spacing w:line="340" w:lineRule="exact"/>
        <w:contextualSpacing/>
        <w:rPr>
          <w:rFonts w:asciiTheme="minorEastAsia" w:hAnsiTheme="minorEastAsia"/>
          <w:szCs w:val="21"/>
        </w:rPr>
      </w:pPr>
    </w:p>
    <w:p w14:paraId="76D23A68" w14:textId="77777777" w:rsidR="00F079F9" w:rsidRPr="0034046A" w:rsidRDefault="00F079F9">
      <w:pPr>
        <w:spacing w:line="340" w:lineRule="exact"/>
        <w:contextualSpacing/>
        <w:rPr>
          <w:rFonts w:asciiTheme="minorEastAsia" w:hAnsiTheme="minorEastAsia"/>
          <w:szCs w:val="21"/>
        </w:rPr>
      </w:pPr>
    </w:p>
    <w:p w14:paraId="7A179433" w14:textId="77777777" w:rsidR="00F079F9" w:rsidRPr="0034046A" w:rsidRDefault="00F079F9">
      <w:pPr>
        <w:spacing w:line="340" w:lineRule="exact"/>
        <w:contextualSpacing/>
        <w:rPr>
          <w:rFonts w:asciiTheme="minorEastAsia" w:hAnsiTheme="minorEastAsia"/>
          <w:szCs w:val="21"/>
        </w:rPr>
      </w:pPr>
    </w:p>
    <w:p w14:paraId="759D626F" w14:textId="77777777" w:rsidR="00F079F9" w:rsidRPr="0034046A" w:rsidRDefault="00F079F9">
      <w:pPr>
        <w:spacing w:line="340" w:lineRule="exact"/>
        <w:contextualSpacing/>
        <w:rPr>
          <w:rFonts w:asciiTheme="minorEastAsia" w:hAnsiTheme="minorEastAsia"/>
          <w:szCs w:val="21"/>
        </w:rPr>
      </w:pPr>
    </w:p>
    <w:p w14:paraId="31D62A8C" w14:textId="77777777" w:rsidR="00F079F9" w:rsidRPr="0034046A" w:rsidRDefault="00F079F9">
      <w:pPr>
        <w:spacing w:line="340" w:lineRule="exact"/>
        <w:contextualSpacing/>
        <w:rPr>
          <w:rFonts w:asciiTheme="minorEastAsia" w:hAnsiTheme="minorEastAsia"/>
          <w:szCs w:val="21"/>
        </w:rPr>
      </w:pPr>
    </w:p>
    <w:p w14:paraId="002AF7D5" w14:textId="77777777" w:rsidR="00F079F9" w:rsidRPr="0034046A" w:rsidRDefault="00F079F9">
      <w:pPr>
        <w:spacing w:line="340" w:lineRule="exact"/>
        <w:contextualSpacing/>
        <w:rPr>
          <w:rFonts w:asciiTheme="minorEastAsia" w:hAnsiTheme="minorEastAsia"/>
          <w:szCs w:val="21"/>
        </w:rPr>
      </w:pPr>
    </w:p>
    <w:p w14:paraId="0B7257FC" w14:textId="77777777" w:rsidR="00F079F9" w:rsidRPr="0034046A" w:rsidRDefault="00F079F9">
      <w:pPr>
        <w:spacing w:line="340" w:lineRule="exact"/>
        <w:contextualSpacing/>
        <w:rPr>
          <w:rFonts w:asciiTheme="minorEastAsia" w:hAnsiTheme="minorEastAsia"/>
          <w:szCs w:val="21"/>
        </w:rPr>
      </w:pPr>
    </w:p>
    <w:p w14:paraId="3CA61B77" w14:textId="77777777" w:rsidR="00F079F9" w:rsidRPr="0034046A" w:rsidRDefault="00F079F9">
      <w:pPr>
        <w:spacing w:line="340" w:lineRule="exact"/>
        <w:contextualSpacing/>
        <w:rPr>
          <w:rFonts w:asciiTheme="minorEastAsia" w:hAnsiTheme="minorEastAsia"/>
          <w:szCs w:val="21"/>
        </w:rPr>
      </w:pPr>
    </w:p>
    <w:p w14:paraId="16925575" w14:textId="77777777" w:rsidR="00F079F9" w:rsidRPr="0034046A" w:rsidRDefault="00F079F9">
      <w:pPr>
        <w:spacing w:line="340" w:lineRule="exact"/>
        <w:contextualSpacing/>
        <w:rPr>
          <w:rFonts w:asciiTheme="minorEastAsia" w:hAnsiTheme="minorEastAsia"/>
          <w:szCs w:val="21"/>
        </w:rPr>
      </w:pPr>
    </w:p>
    <w:p w14:paraId="06E51843" w14:textId="5EE6D28B" w:rsidR="00F079F9" w:rsidRPr="0034046A" w:rsidRDefault="00F079F9">
      <w:pPr>
        <w:spacing w:line="340" w:lineRule="exact"/>
        <w:contextualSpacing/>
        <w:rPr>
          <w:rFonts w:asciiTheme="minorEastAsia" w:hAnsiTheme="minorEastAsia"/>
          <w:szCs w:val="21"/>
        </w:rPr>
      </w:pPr>
    </w:p>
    <w:p w14:paraId="4E086888" w14:textId="77777777" w:rsidR="00530BA3" w:rsidRPr="0034046A" w:rsidRDefault="00530BA3">
      <w:pPr>
        <w:spacing w:line="340" w:lineRule="exact"/>
        <w:contextualSpacing/>
        <w:rPr>
          <w:rFonts w:asciiTheme="minorEastAsia" w:hAnsiTheme="minorEastAsia"/>
          <w:szCs w:val="21"/>
        </w:rPr>
      </w:pPr>
    </w:p>
    <w:p w14:paraId="339EFE00" w14:textId="1DF64DE4"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lastRenderedPageBreak/>
        <w:t>（三）自基金合同生效以来基金每年的净值增长率与同期业绩比较基准的比较图</w:t>
      </w:r>
    </w:p>
    <w:p w14:paraId="7583229C" w14:textId="38DAC9AC" w:rsidR="00530BA3" w:rsidRPr="0034046A" w:rsidRDefault="00F079F9">
      <w:pPr>
        <w:spacing w:line="340" w:lineRule="exact"/>
        <w:contextualSpacing/>
        <w:rPr>
          <w:rFonts w:asciiTheme="minorEastAsia" w:hAnsiTheme="minorEastAsia"/>
          <w:szCs w:val="21"/>
        </w:rPr>
      </w:pPr>
      <w:r w:rsidRPr="0034046A">
        <w:rPr>
          <w:rFonts w:asciiTheme="minorEastAsia" w:hAnsiTheme="minorEastAsia"/>
          <w:noProof/>
          <w:szCs w:val="21"/>
        </w:rPr>
        <w:drawing>
          <wp:anchor distT="0" distB="0" distL="114300" distR="114300" simplePos="0" relativeHeight="251661312" behindDoc="0" locked="0" layoutInCell="1" allowOverlap="1" wp14:anchorId="7EBA5DF9" wp14:editId="101AAEF3">
            <wp:simplePos x="0" y="0"/>
            <wp:positionH relativeFrom="column">
              <wp:posOffset>705213</wp:posOffset>
            </wp:positionH>
            <wp:positionV relativeFrom="paragraph">
              <wp:posOffset>97468</wp:posOffset>
            </wp:positionV>
            <wp:extent cx="5052308" cy="2980706"/>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52308" cy="2980706"/>
                    </a:xfrm>
                    <a:prstGeom prst="rect">
                      <a:avLst/>
                    </a:prstGeom>
                    <a:noFill/>
                  </pic:spPr>
                </pic:pic>
              </a:graphicData>
            </a:graphic>
            <wp14:sizeRelH relativeFrom="page">
              <wp14:pctWidth>0</wp14:pctWidth>
            </wp14:sizeRelH>
            <wp14:sizeRelV relativeFrom="page">
              <wp14:pctHeight>0</wp14:pctHeight>
            </wp14:sizeRelV>
          </wp:anchor>
        </w:drawing>
      </w:r>
    </w:p>
    <w:p w14:paraId="1DE08301" w14:textId="2882B15B" w:rsidR="00F079F9" w:rsidRPr="0034046A" w:rsidRDefault="00F079F9">
      <w:pPr>
        <w:spacing w:line="340" w:lineRule="exact"/>
        <w:contextualSpacing/>
        <w:rPr>
          <w:rFonts w:asciiTheme="minorEastAsia" w:hAnsiTheme="minorEastAsia"/>
          <w:szCs w:val="21"/>
        </w:rPr>
      </w:pPr>
    </w:p>
    <w:p w14:paraId="490E8DD6" w14:textId="23707A2C" w:rsidR="00F079F9" w:rsidRPr="0034046A" w:rsidRDefault="00F079F9">
      <w:pPr>
        <w:spacing w:line="340" w:lineRule="exact"/>
        <w:contextualSpacing/>
        <w:rPr>
          <w:rFonts w:asciiTheme="minorEastAsia" w:hAnsiTheme="minorEastAsia"/>
          <w:szCs w:val="21"/>
        </w:rPr>
      </w:pPr>
    </w:p>
    <w:p w14:paraId="4E6427BA" w14:textId="77777777" w:rsidR="00F079F9" w:rsidRPr="0034046A" w:rsidRDefault="00F079F9">
      <w:pPr>
        <w:spacing w:line="340" w:lineRule="exact"/>
        <w:contextualSpacing/>
        <w:rPr>
          <w:rFonts w:asciiTheme="minorEastAsia" w:hAnsiTheme="minorEastAsia"/>
          <w:szCs w:val="21"/>
        </w:rPr>
      </w:pPr>
    </w:p>
    <w:p w14:paraId="7354F45E" w14:textId="77777777" w:rsidR="00F079F9" w:rsidRPr="0034046A" w:rsidRDefault="00F079F9">
      <w:pPr>
        <w:spacing w:line="340" w:lineRule="exact"/>
        <w:contextualSpacing/>
        <w:rPr>
          <w:rFonts w:asciiTheme="minorEastAsia" w:hAnsiTheme="minorEastAsia"/>
          <w:szCs w:val="21"/>
        </w:rPr>
      </w:pPr>
    </w:p>
    <w:p w14:paraId="1D2FA646" w14:textId="77777777" w:rsidR="00F079F9" w:rsidRPr="0034046A" w:rsidRDefault="00F079F9">
      <w:pPr>
        <w:spacing w:line="340" w:lineRule="exact"/>
        <w:contextualSpacing/>
        <w:rPr>
          <w:rFonts w:asciiTheme="minorEastAsia" w:hAnsiTheme="minorEastAsia"/>
          <w:szCs w:val="21"/>
        </w:rPr>
      </w:pPr>
    </w:p>
    <w:p w14:paraId="7C2F821B" w14:textId="77777777" w:rsidR="00F079F9" w:rsidRPr="0034046A" w:rsidRDefault="00F079F9">
      <w:pPr>
        <w:spacing w:line="340" w:lineRule="exact"/>
        <w:contextualSpacing/>
        <w:rPr>
          <w:rFonts w:asciiTheme="minorEastAsia" w:hAnsiTheme="minorEastAsia"/>
          <w:szCs w:val="21"/>
        </w:rPr>
      </w:pPr>
    </w:p>
    <w:p w14:paraId="6395DC05" w14:textId="77777777" w:rsidR="00F079F9" w:rsidRPr="0034046A" w:rsidRDefault="00F079F9">
      <w:pPr>
        <w:spacing w:line="340" w:lineRule="exact"/>
        <w:contextualSpacing/>
        <w:rPr>
          <w:rFonts w:asciiTheme="minorEastAsia" w:hAnsiTheme="minorEastAsia"/>
          <w:szCs w:val="21"/>
        </w:rPr>
      </w:pPr>
    </w:p>
    <w:p w14:paraId="072687E8" w14:textId="77777777" w:rsidR="00F079F9" w:rsidRPr="0034046A" w:rsidRDefault="00F079F9">
      <w:pPr>
        <w:spacing w:line="340" w:lineRule="exact"/>
        <w:contextualSpacing/>
        <w:rPr>
          <w:rFonts w:asciiTheme="minorEastAsia" w:hAnsiTheme="minorEastAsia"/>
          <w:szCs w:val="21"/>
        </w:rPr>
      </w:pPr>
    </w:p>
    <w:p w14:paraId="6C388BD2" w14:textId="07EC1C68" w:rsidR="00F079F9" w:rsidRPr="0034046A" w:rsidRDefault="00F079F9">
      <w:pPr>
        <w:spacing w:line="340" w:lineRule="exact"/>
        <w:contextualSpacing/>
        <w:rPr>
          <w:rFonts w:asciiTheme="minorEastAsia" w:hAnsiTheme="minorEastAsia"/>
          <w:szCs w:val="21"/>
        </w:rPr>
      </w:pPr>
    </w:p>
    <w:p w14:paraId="5058EE80" w14:textId="77777777" w:rsidR="00F079F9" w:rsidRPr="0034046A" w:rsidRDefault="00F079F9">
      <w:pPr>
        <w:spacing w:line="340" w:lineRule="exact"/>
        <w:contextualSpacing/>
        <w:rPr>
          <w:rFonts w:asciiTheme="minorEastAsia" w:hAnsiTheme="minorEastAsia"/>
          <w:szCs w:val="21"/>
        </w:rPr>
      </w:pPr>
    </w:p>
    <w:p w14:paraId="480A831A" w14:textId="77777777" w:rsidR="00F079F9" w:rsidRPr="0034046A" w:rsidRDefault="00F079F9">
      <w:pPr>
        <w:spacing w:line="340" w:lineRule="exact"/>
        <w:contextualSpacing/>
        <w:rPr>
          <w:rFonts w:asciiTheme="minorEastAsia" w:hAnsiTheme="minorEastAsia"/>
          <w:szCs w:val="21"/>
        </w:rPr>
      </w:pPr>
    </w:p>
    <w:p w14:paraId="565454B6" w14:textId="77777777" w:rsidR="00F079F9" w:rsidRPr="0034046A" w:rsidRDefault="00F079F9">
      <w:pPr>
        <w:spacing w:line="340" w:lineRule="exact"/>
        <w:contextualSpacing/>
        <w:rPr>
          <w:rFonts w:asciiTheme="minorEastAsia" w:hAnsiTheme="minorEastAsia"/>
          <w:szCs w:val="21"/>
        </w:rPr>
      </w:pPr>
    </w:p>
    <w:p w14:paraId="22ADC5EE" w14:textId="77777777" w:rsidR="00F079F9" w:rsidRPr="0034046A" w:rsidRDefault="00F079F9">
      <w:pPr>
        <w:spacing w:line="340" w:lineRule="exact"/>
        <w:contextualSpacing/>
        <w:rPr>
          <w:rFonts w:asciiTheme="minorEastAsia" w:hAnsiTheme="minorEastAsia" w:hint="eastAsia"/>
          <w:b/>
          <w:szCs w:val="21"/>
        </w:rPr>
      </w:pPr>
    </w:p>
    <w:p w14:paraId="4CE095B6"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b/>
          <w:szCs w:val="21"/>
        </w:rPr>
        <w:t>三</w:t>
      </w:r>
      <w:r w:rsidRPr="0034046A">
        <w:rPr>
          <w:rFonts w:asciiTheme="minorEastAsia" w:hAnsiTheme="minorEastAsia" w:hint="eastAsia"/>
          <w:b/>
          <w:szCs w:val="21"/>
        </w:rPr>
        <w:t>、</w:t>
      </w:r>
      <w:r w:rsidRPr="0034046A">
        <w:rPr>
          <w:rFonts w:asciiTheme="minorEastAsia" w:hAnsiTheme="minorEastAsia"/>
          <w:b/>
          <w:szCs w:val="21"/>
        </w:rPr>
        <w:t>投资本基金涉及的费用</w:t>
      </w:r>
    </w:p>
    <w:p w14:paraId="5EDC4A2C"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（一）基金销售相关费用</w:t>
      </w:r>
    </w:p>
    <w:p w14:paraId="441658C5"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以下费用在</w:t>
      </w:r>
      <w:r w:rsidRPr="0034046A">
        <w:rPr>
          <w:rFonts w:asciiTheme="minorEastAsia" w:hAnsiTheme="minorEastAsia" w:hint="eastAsia"/>
          <w:szCs w:val="21"/>
        </w:rPr>
        <w:t>认购/</w:t>
      </w:r>
      <w:r w:rsidRPr="0034046A">
        <w:rPr>
          <w:rFonts w:asciiTheme="minorEastAsia" w:hAnsiTheme="minorEastAsia"/>
          <w:szCs w:val="21"/>
        </w:rPr>
        <w:t>申购</w:t>
      </w:r>
      <w:r w:rsidRPr="0034046A">
        <w:rPr>
          <w:rFonts w:asciiTheme="minorEastAsia" w:hAnsiTheme="minorEastAsia" w:hint="eastAsia"/>
          <w:szCs w:val="21"/>
        </w:rPr>
        <w:t>/赎回基金过程中收取：</w:t>
      </w:r>
    </w:p>
    <w:p w14:paraId="28584ECA"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东方阿尔法兴科一年持有期混合</w:t>
      </w:r>
      <w:r w:rsidRPr="0034046A">
        <w:rPr>
          <w:rFonts w:asciiTheme="minorEastAsia" w:hAnsiTheme="minorEastAsia"/>
          <w:szCs w:val="21"/>
        </w:rPr>
        <w:t>A</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1984"/>
        <w:gridCol w:w="2411"/>
        <w:gridCol w:w="1984"/>
        <w:gridCol w:w="2126"/>
      </w:tblGrid>
      <w:tr w:rsidR="00530BA3" w:rsidRPr="0034046A" w14:paraId="50742988" w14:textId="77777777">
        <w:tc>
          <w:tcPr>
            <w:tcW w:w="1984" w:type="dxa"/>
          </w:tcPr>
          <w:p w14:paraId="5ED37153"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费用类型</w:t>
            </w:r>
          </w:p>
        </w:tc>
        <w:tc>
          <w:tcPr>
            <w:tcW w:w="2411" w:type="dxa"/>
          </w:tcPr>
          <w:p w14:paraId="70AF641A"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金额（M）/</w:t>
            </w:r>
          </w:p>
          <w:p w14:paraId="13A02951"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持有期间（N）</w:t>
            </w:r>
          </w:p>
        </w:tc>
        <w:tc>
          <w:tcPr>
            <w:tcW w:w="1984" w:type="dxa"/>
          </w:tcPr>
          <w:p w14:paraId="025DC340"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收费方式/费率</w:t>
            </w:r>
          </w:p>
        </w:tc>
        <w:tc>
          <w:tcPr>
            <w:tcW w:w="2126" w:type="dxa"/>
          </w:tcPr>
          <w:p w14:paraId="621811EA"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备注</w:t>
            </w:r>
          </w:p>
        </w:tc>
      </w:tr>
      <w:tr w:rsidR="00530BA3" w:rsidRPr="0034046A" w14:paraId="6250770E" w14:textId="77777777">
        <w:trPr>
          <w:trHeight w:val="20"/>
        </w:trPr>
        <w:tc>
          <w:tcPr>
            <w:tcW w:w="1984" w:type="dxa"/>
            <w:vMerge w:val="restart"/>
          </w:tcPr>
          <w:p w14:paraId="136A29FD"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申购费（前收费）</w:t>
            </w:r>
          </w:p>
          <w:p w14:paraId="6AD991BE" w14:textId="77777777" w:rsidR="00530BA3" w:rsidRPr="0034046A" w:rsidRDefault="00530BA3">
            <w:pPr>
              <w:spacing w:line="340" w:lineRule="exact"/>
              <w:contextualSpacing/>
              <w:rPr>
                <w:rFonts w:asciiTheme="minorEastAsia" w:hAnsiTheme="minorEastAsia"/>
                <w:b/>
                <w:szCs w:val="21"/>
              </w:rPr>
            </w:pPr>
          </w:p>
        </w:tc>
        <w:tc>
          <w:tcPr>
            <w:tcW w:w="2411" w:type="dxa"/>
          </w:tcPr>
          <w:p w14:paraId="37B92720"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M＜</w:t>
            </w:r>
            <w:r w:rsidRPr="0034046A">
              <w:rPr>
                <w:rFonts w:asciiTheme="minorEastAsia" w:hAnsiTheme="minorEastAsia"/>
                <w:szCs w:val="21"/>
              </w:rPr>
              <w:t>100</w:t>
            </w:r>
            <w:r w:rsidRPr="0034046A">
              <w:rPr>
                <w:rFonts w:asciiTheme="minorEastAsia" w:hAnsiTheme="minorEastAsia" w:hint="eastAsia"/>
                <w:szCs w:val="21"/>
              </w:rPr>
              <w:t>万</w:t>
            </w:r>
          </w:p>
        </w:tc>
        <w:tc>
          <w:tcPr>
            <w:tcW w:w="1984" w:type="dxa"/>
          </w:tcPr>
          <w:p w14:paraId="551ECF44"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1.50%</w:t>
            </w:r>
          </w:p>
        </w:tc>
        <w:tc>
          <w:tcPr>
            <w:tcW w:w="2126" w:type="dxa"/>
          </w:tcPr>
          <w:p w14:paraId="1A0238F9"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非养老金客户</w:t>
            </w:r>
          </w:p>
        </w:tc>
      </w:tr>
      <w:tr w:rsidR="00530BA3" w:rsidRPr="0034046A" w14:paraId="71513165" w14:textId="77777777">
        <w:trPr>
          <w:trHeight w:val="20"/>
        </w:trPr>
        <w:tc>
          <w:tcPr>
            <w:tcW w:w="1984" w:type="dxa"/>
            <w:vMerge/>
          </w:tcPr>
          <w:p w14:paraId="43F442AE" w14:textId="77777777" w:rsidR="00530BA3" w:rsidRPr="0034046A" w:rsidRDefault="00530BA3">
            <w:pPr>
              <w:spacing w:line="340" w:lineRule="exact"/>
              <w:contextualSpacing/>
              <w:rPr>
                <w:rFonts w:asciiTheme="minorEastAsia" w:hAnsiTheme="minorEastAsia"/>
                <w:b/>
                <w:szCs w:val="21"/>
              </w:rPr>
            </w:pPr>
          </w:p>
        </w:tc>
        <w:tc>
          <w:tcPr>
            <w:tcW w:w="2411" w:type="dxa"/>
          </w:tcPr>
          <w:p w14:paraId="0CAEEAF3"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szCs w:val="21"/>
              </w:rPr>
              <w:t>100</w:t>
            </w:r>
            <w:r w:rsidRPr="0034046A">
              <w:rPr>
                <w:rFonts w:asciiTheme="minorEastAsia" w:hAnsiTheme="minorEastAsia" w:hint="eastAsia"/>
                <w:szCs w:val="21"/>
              </w:rPr>
              <w:t>万≤M＜</w:t>
            </w:r>
            <w:r w:rsidRPr="0034046A">
              <w:rPr>
                <w:rFonts w:asciiTheme="minorEastAsia" w:hAnsiTheme="minorEastAsia"/>
                <w:szCs w:val="21"/>
              </w:rPr>
              <w:t>500</w:t>
            </w:r>
            <w:r w:rsidRPr="0034046A">
              <w:rPr>
                <w:rFonts w:asciiTheme="minorEastAsia" w:hAnsiTheme="minorEastAsia" w:hint="eastAsia"/>
                <w:szCs w:val="21"/>
              </w:rPr>
              <w:t>万</w:t>
            </w:r>
          </w:p>
        </w:tc>
        <w:tc>
          <w:tcPr>
            <w:tcW w:w="1984" w:type="dxa"/>
          </w:tcPr>
          <w:p w14:paraId="2D7828AC"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1.00%</w:t>
            </w:r>
          </w:p>
        </w:tc>
        <w:tc>
          <w:tcPr>
            <w:tcW w:w="2126" w:type="dxa"/>
          </w:tcPr>
          <w:p w14:paraId="75BD1164"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非养老金客户</w:t>
            </w:r>
          </w:p>
        </w:tc>
      </w:tr>
      <w:tr w:rsidR="00530BA3" w:rsidRPr="0034046A" w14:paraId="57AD094A" w14:textId="77777777">
        <w:trPr>
          <w:trHeight w:val="20"/>
        </w:trPr>
        <w:tc>
          <w:tcPr>
            <w:tcW w:w="1984" w:type="dxa"/>
            <w:vMerge/>
          </w:tcPr>
          <w:p w14:paraId="52E0EA80" w14:textId="77777777" w:rsidR="00530BA3" w:rsidRPr="0034046A" w:rsidRDefault="00530BA3">
            <w:pPr>
              <w:spacing w:line="340" w:lineRule="exact"/>
              <w:contextualSpacing/>
              <w:rPr>
                <w:rFonts w:asciiTheme="minorEastAsia" w:hAnsiTheme="minorEastAsia"/>
                <w:b/>
                <w:szCs w:val="21"/>
              </w:rPr>
            </w:pPr>
          </w:p>
        </w:tc>
        <w:tc>
          <w:tcPr>
            <w:tcW w:w="2411" w:type="dxa"/>
          </w:tcPr>
          <w:p w14:paraId="1990FF41"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M≥</w:t>
            </w:r>
            <w:r w:rsidRPr="0034046A">
              <w:rPr>
                <w:rFonts w:asciiTheme="minorEastAsia" w:hAnsiTheme="minorEastAsia"/>
                <w:szCs w:val="21"/>
              </w:rPr>
              <w:t>500</w:t>
            </w:r>
            <w:r w:rsidRPr="0034046A">
              <w:rPr>
                <w:rFonts w:asciiTheme="minorEastAsia" w:hAnsiTheme="minorEastAsia" w:hint="eastAsia"/>
                <w:szCs w:val="21"/>
              </w:rPr>
              <w:t>万</w:t>
            </w:r>
          </w:p>
        </w:tc>
        <w:tc>
          <w:tcPr>
            <w:tcW w:w="1984" w:type="dxa"/>
          </w:tcPr>
          <w:p w14:paraId="6A9D106A"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1000元/笔</w:t>
            </w:r>
          </w:p>
        </w:tc>
        <w:tc>
          <w:tcPr>
            <w:tcW w:w="2126" w:type="dxa"/>
          </w:tcPr>
          <w:p w14:paraId="268BAE5E"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非养老金客户</w:t>
            </w:r>
          </w:p>
        </w:tc>
      </w:tr>
      <w:tr w:rsidR="00530BA3" w:rsidRPr="0034046A" w14:paraId="6E85D30F" w14:textId="77777777">
        <w:trPr>
          <w:trHeight w:val="20"/>
        </w:trPr>
        <w:tc>
          <w:tcPr>
            <w:tcW w:w="1984" w:type="dxa"/>
            <w:vMerge/>
          </w:tcPr>
          <w:p w14:paraId="244A3E1E" w14:textId="77777777" w:rsidR="00530BA3" w:rsidRPr="0034046A" w:rsidRDefault="00530BA3">
            <w:pPr>
              <w:spacing w:line="340" w:lineRule="exact"/>
              <w:contextualSpacing/>
              <w:rPr>
                <w:rFonts w:asciiTheme="minorEastAsia" w:hAnsiTheme="minorEastAsia"/>
                <w:b/>
                <w:szCs w:val="21"/>
              </w:rPr>
            </w:pPr>
          </w:p>
        </w:tc>
        <w:tc>
          <w:tcPr>
            <w:tcW w:w="2411" w:type="dxa"/>
          </w:tcPr>
          <w:p w14:paraId="4F3DBD65"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M＜</w:t>
            </w:r>
            <w:r w:rsidRPr="0034046A">
              <w:rPr>
                <w:rFonts w:asciiTheme="minorEastAsia" w:hAnsiTheme="minorEastAsia"/>
                <w:szCs w:val="21"/>
              </w:rPr>
              <w:t>100</w:t>
            </w:r>
            <w:r w:rsidRPr="0034046A">
              <w:rPr>
                <w:rFonts w:asciiTheme="minorEastAsia" w:hAnsiTheme="minorEastAsia" w:hint="eastAsia"/>
                <w:szCs w:val="21"/>
              </w:rPr>
              <w:t>万</w:t>
            </w:r>
          </w:p>
        </w:tc>
        <w:tc>
          <w:tcPr>
            <w:tcW w:w="1984" w:type="dxa"/>
          </w:tcPr>
          <w:p w14:paraId="0E97A3E3"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szCs w:val="21"/>
              </w:rPr>
              <w:t>0.</w:t>
            </w:r>
            <w:r w:rsidRPr="0034046A">
              <w:rPr>
                <w:rFonts w:asciiTheme="minorEastAsia" w:hAnsiTheme="minorEastAsia" w:hint="eastAsia"/>
                <w:szCs w:val="21"/>
              </w:rPr>
              <w:t>15%</w:t>
            </w:r>
          </w:p>
        </w:tc>
        <w:tc>
          <w:tcPr>
            <w:tcW w:w="2126" w:type="dxa"/>
          </w:tcPr>
          <w:p w14:paraId="6A76E6EC"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养老金客户</w:t>
            </w:r>
          </w:p>
        </w:tc>
      </w:tr>
      <w:tr w:rsidR="00530BA3" w:rsidRPr="0034046A" w14:paraId="77B57DA8" w14:textId="77777777">
        <w:trPr>
          <w:trHeight w:val="20"/>
        </w:trPr>
        <w:tc>
          <w:tcPr>
            <w:tcW w:w="1984" w:type="dxa"/>
            <w:vMerge/>
          </w:tcPr>
          <w:p w14:paraId="1EFED2CC" w14:textId="77777777" w:rsidR="00530BA3" w:rsidRPr="0034046A" w:rsidRDefault="00530BA3">
            <w:pPr>
              <w:spacing w:line="340" w:lineRule="exact"/>
              <w:contextualSpacing/>
              <w:rPr>
                <w:rFonts w:asciiTheme="minorEastAsia" w:hAnsiTheme="minorEastAsia"/>
                <w:b/>
                <w:szCs w:val="21"/>
              </w:rPr>
            </w:pPr>
          </w:p>
        </w:tc>
        <w:tc>
          <w:tcPr>
            <w:tcW w:w="2411" w:type="dxa"/>
          </w:tcPr>
          <w:p w14:paraId="30E9A8C3"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szCs w:val="21"/>
              </w:rPr>
              <w:t>100</w:t>
            </w:r>
            <w:r w:rsidRPr="0034046A">
              <w:rPr>
                <w:rFonts w:asciiTheme="minorEastAsia" w:hAnsiTheme="minorEastAsia" w:hint="eastAsia"/>
                <w:szCs w:val="21"/>
              </w:rPr>
              <w:t>万≤M＜</w:t>
            </w:r>
            <w:r w:rsidRPr="0034046A">
              <w:rPr>
                <w:rFonts w:asciiTheme="minorEastAsia" w:hAnsiTheme="minorEastAsia"/>
                <w:szCs w:val="21"/>
              </w:rPr>
              <w:t>500</w:t>
            </w:r>
            <w:r w:rsidRPr="0034046A">
              <w:rPr>
                <w:rFonts w:asciiTheme="minorEastAsia" w:hAnsiTheme="minorEastAsia" w:hint="eastAsia"/>
                <w:szCs w:val="21"/>
              </w:rPr>
              <w:t>万</w:t>
            </w:r>
          </w:p>
        </w:tc>
        <w:tc>
          <w:tcPr>
            <w:tcW w:w="1984" w:type="dxa"/>
          </w:tcPr>
          <w:p w14:paraId="0EFC13B7"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szCs w:val="21"/>
              </w:rPr>
              <w:t>0.</w:t>
            </w:r>
            <w:r w:rsidRPr="0034046A">
              <w:rPr>
                <w:rFonts w:asciiTheme="minorEastAsia" w:hAnsiTheme="minorEastAsia" w:hint="eastAsia"/>
                <w:szCs w:val="21"/>
              </w:rPr>
              <w:t>10%</w:t>
            </w:r>
          </w:p>
        </w:tc>
        <w:tc>
          <w:tcPr>
            <w:tcW w:w="2126" w:type="dxa"/>
          </w:tcPr>
          <w:p w14:paraId="778D02E8"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养老金客户</w:t>
            </w:r>
          </w:p>
        </w:tc>
      </w:tr>
      <w:tr w:rsidR="00530BA3" w:rsidRPr="0034046A" w14:paraId="54748E08" w14:textId="77777777">
        <w:trPr>
          <w:trHeight w:val="20"/>
        </w:trPr>
        <w:tc>
          <w:tcPr>
            <w:tcW w:w="1984" w:type="dxa"/>
            <w:vMerge/>
          </w:tcPr>
          <w:p w14:paraId="08A28E25" w14:textId="77777777" w:rsidR="00530BA3" w:rsidRPr="0034046A" w:rsidRDefault="00530BA3">
            <w:pPr>
              <w:spacing w:line="340" w:lineRule="exact"/>
              <w:contextualSpacing/>
              <w:rPr>
                <w:rFonts w:asciiTheme="minorEastAsia" w:hAnsiTheme="minorEastAsia"/>
                <w:b/>
                <w:szCs w:val="21"/>
              </w:rPr>
            </w:pPr>
          </w:p>
        </w:tc>
        <w:tc>
          <w:tcPr>
            <w:tcW w:w="2411" w:type="dxa"/>
          </w:tcPr>
          <w:p w14:paraId="5F33DB82"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M≥</w:t>
            </w:r>
            <w:r w:rsidRPr="0034046A">
              <w:rPr>
                <w:rFonts w:asciiTheme="minorEastAsia" w:hAnsiTheme="minorEastAsia"/>
                <w:szCs w:val="21"/>
              </w:rPr>
              <w:t>500</w:t>
            </w:r>
            <w:r w:rsidRPr="0034046A">
              <w:rPr>
                <w:rFonts w:asciiTheme="minorEastAsia" w:hAnsiTheme="minorEastAsia" w:hint="eastAsia"/>
                <w:szCs w:val="21"/>
              </w:rPr>
              <w:t>万</w:t>
            </w:r>
          </w:p>
        </w:tc>
        <w:tc>
          <w:tcPr>
            <w:tcW w:w="1984" w:type="dxa"/>
          </w:tcPr>
          <w:p w14:paraId="637901A9"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1000元/笔</w:t>
            </w:r>
          </w:p>
        </w:tc>
        <w:tc>
          <w:tcPr>
            <w:tcW w:w="2126" w:type="dxa"/>
          </w:tcPr>
          <w:p w14:paraId="34419EC4"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养老金客户</w:t>
            </w:r>
          </w:p>
        </w:tc>
      </w:tr>
      <w:tr w:rsidR="00530BA3" w:rsidRPr="0034046A" w14:paraId="461AD0C9" w14:textId="77777777">
        <w:trPr>
          <w:trHeight w:val="745"/>
        </w:trPr>
        <w:tc>
          <w:tcPr>
            <w:tcW w:w="1984" w:type="dxa"/>
          </w:tcPr>
          <w:p w14:paraId="1679B807"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赎回费</w:t>
            </w:r>
          </w:p>
        </w:tc>
        <w:tc>
          <w:tcPr>
            <w:tcW w:w="6521" w:type="dxa"/>
            <w:gridSpan w:val="3"/>
          </w:tcPr>
          <w:p w14:paraId="5695A654" w14:textId="77777777" w:rsidR="00530BA3" w:rsidRPr="0034046A" w:rsidRDefault="00400E6A">
            <w:pPr>
              <w:contextualSpacing/>
              <w:rPr>
                <w:rFonts w:asciiTheme="minorEastAsia" w:hAnsiTheme="minorEastAsia"/>
                <w:szCs w:val="21"/>
              </w:rPr>
            </w:pPr>
            <w:r w:rsidRPr="0034046A">
              <w:rPr>
                <w:rFonts w:asciiTheme="minorEastAsia" w:hAnsiTheme="minorEastAsia" w:hint="eastAsia"/>
                <w:szCs w:val="21"/>
              </w:rPr>
              <w:t>本基金对每份基金份额设定一年的最短持有期，赎回时不收取赎回费用。</w:t>
            </w:r>
          </w:p>
        </w:tc>
      </w:tr>
    </w:tbl>
    <w:p w14:paraId="0DC89AEB" w14:textId="3F9E4F90"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注:投资人重复申购，须按每次申购所对应的费率档次分别计费。</w:t>
      </w:r>
    </w:p>
    <w:p w14:paraId="6AB65387" w14:textId="77777777" w:rsidR="00F079F9" w:rsidRPr="0034046A" w:rsidRDefault="00F079F9">
      <w:pPr>
        <w:spacing w:line="340" w:lineRule="exact"/>
        <w:ind w:firstLineChars="200" w:firstLine="420"/>
        <w:contextualSpacing/>
        <w:rPr>
          <w:rFonts w:asciiTheme="minorEastAsia" w:hAnsiTheme="minorEastAsia"/>
          <w:szCs w:val="21"/>
        </w:rPr>
      </w:pPr>
    </w:p>
    <w:p w14:paraId="63EBF26D"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（二）基金运作相关费用</w:t>
      </w:r>
    </w:p>
    <w:p w14:paraId="6DC01D41" w14:textId="77777777" w:rsidR="00530BA3" w:rsidRPr="0034046A" w:rsidRDefault="00400E6A">
      <w:pPr>
        <w:spacing w:line="340" w:lineRule="exact"/>
        <w:ind w:firstLineChars="200" w:firstLine="422"/>
        <w:contextualSpacing/>
        <w:rPr>
          <w:rFonts w:asciiTheme="minorEastAsia" w:hAnsiTheme="minorEastAsia"/>
          <w:b/>
          <w:szCs w:val="21"/>
        </w:rPr>
      </w:pPr>
      <w:r w:rsidRPr="0034046A">
        <w:rPr>
          <w:rFonts w:asciiTheme="minorEastAsia" w:hAnsiTheme="minorEastAsia"/>
          <w:b/>
          <w:szCs w:val="21"/>
        </w:rPr>
        <w:t>以下费用将从基金资产中扣除</w:t>
      </w:r>
    </w:p>
    <w:tbl>
      <w:tblPr>
        <w:tblStyle w:val="a7"/>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530BA3" w:rsidRPr="0034046A" w14:paraId="6E541512" w14:textId="77777777">
        <w:tc>
          <w:tcPr>
            <w:tcW w:w="2268" w:type="dxa"/>
          </w:tcPr>
          <w:p w14:paraId="7E2F48C3"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费用类型</w:t>
            </w:r>
          </w:p>
        </w:tc>
        <w:tc>
          <w:tcPr>
            <w:tcW w:w="6946" w:type="dxa"/>
          </w:tcPr>
          <w:p w14:paraId="77074E4F" w14:textId="77777777" w:rsidR="00530BA3" w:rsidRPr="0034046A" w:rsidRDefault="00400E6A">
            <w:pPr>
              <w:spacing w:line="340" w:lineRule="exact"/>
              <w:contextualSpacing/>
              <w:jc w:val="center"/>
              <w:rPr>
                <w:rFonts w:asciiTheme="minorEastAsia" w:hAnsiTheme="minorEastAsia"/>
                <w:b/>
                <w:szCs w:val="21"/>
              </w:rPr>
            </w:pPr>
            <w:r w:rsidRPr="0034046A">
              <w:rPr>
                <w:rFonts w:asciiTheme="minorEastAsia" w:hAnsiTheme="minorEastAsia" w:hint="eastAsia"/>
                <w:b/>
                <w:szCs w:val="21"/>
              </w:rPr>
              <w:t>收费方式/年费率</w:t>
            </w:r>
          </w:p>
        </w:tc>
      </w:tr>
      <w:tr w:rsidR="00530BA3" w:rsidRPr="0034046A" w14:paraId="6CC93D64" w14:textId="77777777">
        <w:tc>
          <w:tcPr>
            <w:tcW w:w="2268" w:type="dxa"/>
          </w:tcPr>
          <w:p w14:paraId="2AB954CB"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管理费</w:t>
            </w:r>
          </w:p>
        </w:tc>
        <w:tc>
          <w:tcPr>
            <w:tcW w:w="6946" w:type="dxa"/>
          </w:tcPr>
          <w:p w14:paraId="22F6AFF6" w14:textId="375F0DAC" w:rsidR="00530BA3" w:rsidRPr="0034046A" w:rsidRDefault="00400E6A" w:rsidP="00DF6C1C">
            <w:pPr>
              <w:spacing w:line="340" w:lineRule="exact"/>
              <w:contextualSpacing/>
              <w:rPr>
                <w:rFonts w:asciiTheme="minorEastAsia" w:hAnsiTheme="minorEastAsia"/>
                <w:szCs w:val="21"/>
              </w:rPr>
            </w:pPr>
            <w:r w:rsidRPr="0034046A">
              <w:rPr>
                <w:rFonts w:asciiTheme="minorEastAsia" w:hAnsiTheme="minorEastAsia" w:hint="eastAsia"/>
                <w:szCs w:val="21"/>
              </w:rPr>
              <w:t>固定费率1.</w:t>
            </w:r>
            <w:r w:rsidR="00DF6C1C" w:rsidRPr="0034046A">
              <w:rPr>
                <w:rFonts w:asciiTheme="minorEastAsia" w:hAnsiTheme="minorEastAsia"/>
                <w:szCs w:val="21"/>
              </w:rPr>
              <w:t>2</w:t>
            </w:r>
            <w:r w:rsidR="00DF6C1C" w:rsidRPr="0034046A">
              <w:rPr>
                <w:rFonts w:asciiTheme="minorEastAsia" w:hAnsiTheme="minorEastAsia" w:hint="eastAsia"/>
                <w:szCs w:val="21"/>
              </w:rPr>
              <w:t>0</w:t>
            </w:r>
            <w:r w:rsidRPr="0034046A">
              <w:rPr>
                <w:rFonts w:asciiTheme="minorEastAsia" w:hAnsiTheme="minorEastAsia" w:hint="eastAsia"/>
                <w:szCs w:val="21"/>
              </w:rPr>
              <w:t>%</w:t>
            </w:r>
          </w:p>
        </w:tc>
      </w:tr>
      <w:tr w:rsidR="00530BA3" w:rsidRPr="0034046A" w14:paraId="29CD63E9" w14:textId="77777777">
        <w:tc>
          <w:tcPr>
            <w:tcW w:w="2268" w:type="dxa"/>
          </w:tcPr>
          <w:p w14:paraId="7F451B09"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托管费</w:t>
            </w:r>
          </w:p>
        </w:tc>
        <w:tc>
          <w:tcPr>
            <w:tcW w:w="6946" w:type="dxa"/>
          </w:tcPr>
          <w:p w14:paraId="192B3643" w14:textId="549C4877" w:rsidR="00530BA3" w:rsidRPr="0034046A" w:rsidRDefault="00400E6A" w:rsidP="00DF6C1C">
            <w:pPr>
              <w:spacing w:line="340" w:lineRule="exact"/>
              <w:contextualSpacing/>
              <w:rPr>
                <w:rFonts w:asciiTheme="minorEastAsia" w:hAnsiTheme="minorEastAsia"/>
                <w:szCs w:val="21"/>
              </w:rPr>
            </w:pPr>
            <w:r w:rsidRPr="0034046A">
              <w:rPr>
                <w:rFonts w:asciiTheme="minorEastAsia" w:hAnsiTheme="minorEastAsia" w:hint="eastAsia"/>
                <w:szCs w:val="21"/>
              </w:rPr>
              <w:t>固定费率0.</w:t>
            </w:r>
            <w:r w:rsidR="00DF6C1C" w:rsidRPr="0034046A">
              <w:rPr>
                <w:rFonts w:asciiTheme="minorEastAsia" w:hAnsiTheme="minorEastAsia" w:hint="eastAsia"/>
                <w:szCs w:val="21"/>
              </w:rPr>
              <w:t>2</w:t>
            </w:r>
            <w:r w:rsidR="00DF6C1C" w:rsidRPr="0034046A">
              <w:rPr>
                <w:rFonts w:asciiTheme="minorEastAsia" w:hAnsiTheme="minorEastAsia"/>
                <w:szCs w:val="21"/>
              </w:rPr>
              <w:t>0</w:t>
            </w:r>
            <w:r w:rsidRPr="0034046A">
              <w:rPr>
                <w:rFonts w:asciiTheme="minorEastAsia" w:hAnsiTheme="minorEastAsia" w:hint="eastAsia"/>
                <w:szCs w:val="21"/>
              </w:rPr>
              <w:t>%</w:t>
            </w:r>
          </w:p>
        </w:tc>
      </w:tr>
      <w:tr w:rsidR="00530BA3" w:rsidRPr="0034046A" w14:paraId="74602494" w14:textId="77777777">
        <w:tc>
          <w:tcPr>
            <w:tcW w:w="2268" w:type="dxa"/>
          </w:tcPr>
          <w:p w14:paraId="477EA4A1"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b/>
                <w:szCs w:val="21"/>
              </w:rPr>
              <w:t>其他费用</w:t>
            </w:r>
          </w:p>
        </w:tc>
        <w:tc>
          <w:tcPr>
            <w:tcW w:w="6946" w:type="dxa"/>
          </w:tcPr>
          <w:p w14:paraId="607E9D29" w14:textId="77777777" w:rsidR="00530BA3" w:rsidRPr="0034046A" w:rsidRDefault="00400E6A">
            <w:pPr>
              <w:spacing w:line="340" w:lineRule="exact"/>
              <w:contextualSpacing/>
              <w:rPr>
                <w:rFonts w:asciiTheme="minorEastAsia" w:hAnsiTheme="minorEastAsia"/>
                <w:szCs w:val="21"/>
              </w:rPr>
            </w:pPr>
            <w:r w:rsidRPr="0034046A">
              <w:rPr>
                <w:rFonts w:asciiTheme="minorEastAsia" w:hAnsiTheme="minorEastAsia" w:hint="eastAsia"/>
                <w:szCs w:val="21"/>
              </w:rPr>
              <w:t>《基金合同》生效后与基金相关的信息披露费用、会计师费、审计费、律师费、诉讼费和仲裁费等费用；基金份额持有人大会费用；基金的证券、期货、期权交易费用；基金的银行汇划费用；基金相关的开户费用、账户维护费用；基金投资港股通标的股票的合理费用；</w:t>
            </w:r>
            <w:r w:rsidRPr="0034046A">
              <w:rPr>
                <w:rFonts w:asciiTheme="minorEastAsia" w:hAnsiTheme="minorEastAsia"/>
                <w:bCs/>
                <w:szCs w:val="21"/>
              </w:rPr>
              <w:t>按照国家有关规定和《基金合同》约定，可以在基金财产中列支的其他费用</w:t>
            </w:r>
            <w:r w:rsidRPr="0034046A">
              <w:rPr>
                <w:rFonts w:asciiTheme="minorEastAsia" w:hAnsiTheme="minorEastAsia" w:hint="eastAsia"/>
                <w:bCs/>
                <w:szCs w:val="21"/>
              </w:rPr>
              <w:t>。</w:t>
            </w:r>
          </w:p>
        </w:tc>
      </w:tr>
    </w:tbl>
    <w:p w14:paraId="2768372E"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lastRenderedPageBreak/>
        <w:t>注：本基金交易证券、基金等产生的费用和税负，按实际发生额从基金资产扣除。</w:t>
      </w:r>
    </w:p>
    <w:p w14:paraId="6419AB76" w14:textId="77777777" w:rsidR="00530BA3" w:rsidRPr="0034046A" w:rsidRDefault="00530BA3">
      <w:pPr>
        <w:spacing w:line="340" w:lineRule="exact"/>
        <w:ind w:firstLineChars="200" w:firstLine="420"/>
        <w:contextualSpacing/>
        <w:rPr>
          <w:rFonts w:asciiTheme="minorEastAsia" w:hAnsiTheme="minorEastAsia"/>
          <w:szCs w:val="21"/>
        </w:rPr>
      </w:pPr>
    </w:p>
    <w:p w14:paraId="47D3C035"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b/>
          <w:szCs w:val="21"/>
        </w:rPr>
        <w:t>四</w:t>
      </w:r>
      <w:r w:rsidRPr="0034046A">
        <w:rPr>
          <w:rFonts w:asciiTheme="minorEastAsia" w:hAnsiTheme="minorEastAsia" w:hint="eastAsia"/>
          <w:b/>
          <w:szCs w:val="21"/>
        </w:rPr>
        <w:t>、</w:t>
      </w:r>
      <w:r w:rsidRPr="0034046A">
        <w:rPr>
          <w:rFonts w:asciiTheme="minorEastAsia" w:hAnsiTheme="minorEastAsia"/>
          <w:b/>
          <w:szCs w:val="21"/>
        </w:rPr>
        <w:t>风险揭示与重要提示</w:t>
      </w:r>
    </w:p>
    <w:p w14:paraId="21819223"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（一）风险揭示</w:t>
      </w:r>
    </w:p>
    <w:p w14:paraId="02D01D3D"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本基金不提供任何保证。投资者可能损失本金。投资有风险，投资者购买基金时应认真阅读本基金的《招募说明书》等销售文件。</w:t>
      </w:r>
    </w:p>
    <w:p w14:paraId="04FE5C72"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1、本基金特有风险</w:t>
      </w:r>
    </w:p>
    <w:p w14:paraId="2D2D2622"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（1）本基金</w:t>
      </w:r>
      <w:r w:rsidRPr="0034046A">
        <w:rPr>
          <w:rFonts w:asciiTheme="minorEastAsia" w:hAnsiTheme="minorEastAsia" w:hint="eastAsia"/>
          <w:szCs w:val="21"/>
        </w:rPr>
        <w:t>为混合型基金，本基金</w:t>
      </w:r>
      <w:r w:rsidRPr="0034046A">
        <w:rPr>
          <w:rFonts w:asciiTheme="minorEastAsia" w:hAnsiTheme="minorEastAsia"/>
          <w:szCs w:val="21"/>
        </w:rPr>
        <w:t>投资于股票的比例占基金资产的60%-95%，投资集中度比较明显，股票市场的价格波动可能会导致基金净值发生剧烈波动的风险。</w:t>
      </w:r>
    </w:p>
    <w:p w14:paraId="381CB0F9"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w:t>
      </w:r>
      <w:r w:rsidRPr="0034046A">
        <w:rPr>
          <w:rFonts w:asciiTheme="minorEastAsia" w:hAnsiTheme="minorEastAsia" w:hint="eastAsia"/>
          <w:szCs w:val="21"/>
        </w:rPr>
        <w:t>2）</w:t>
      </w:r>
      <w:r w:rsidRPr="0034046A">
        <w:rPr>
          <w:rFonts w:asciiTheme="minorEastAsia" w:hAnsiTheme="minorEastAsia"/>
          <w:szCs w:val="21"/>
        </w:rPr>
        <w:t>本基金除了投资于A股市场优质企业外，还可在法律法规规定的范围内投资港股通标的股票，会面临港股通机制下因投资环境、投资标的、市场制度以及交易规则等差异带来的特有风险。</w:t>
      </w:r>
    </w:p>
    <w:p w14:paraId="3FBE07C0"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（3）</w:t>
      </w:r>
      <w:r w:rsidRPr="0034046A">
        <w:rPr>
          <w:rFonts w:asciiTheme="minorEastAsia" w:hAnsiTheme="minorEastAsia" w:hint="eastAsia"/>
          <w:color w:val="000000" w:themeColor="text1"/>
          <w:szCs w:val="21"/>
        </w:rPr>
        <w:t>本基金可投资股指期货，可能会出现的风险包括基差风险、合约品种差异造成的风险、标的物风险、衍生品模型风险等。</w:t>
      </w:r>
    </w:p>
    <w:p w14:paraId="783C3740" w14:textId="77777777" w:rsidR="00530BA3" w:rsidRPr="0034046A" w:rsidRDefault="00400E6A">
      <w:pPr>
        <w:spacing w:line="340" w:lineRule="exact"/>
        <w:ind w:firstLineChars="200" w:firstLine="420"/>
        <w:contextualSpacing/>
        <w:rPr>
          <w:rFonts w:asciiTheme="minorEastAsia" w:hAnsiTheme="minorEastAsia"/>
          <w:color w:val="000000" w:themeColor="text1"/>
          <w:szCs w:val="21"/>
        </w:rPr>
      </w:pPr>
      <w:r w:rsidRPr="0034046A">
        <w:rPr>
          <w:rFonts w:asciiTheme="minorEastAsia" w:hAnsiTheme="minorEastAsia"/>
          <w:szCs w:val="21"/>
        </w:rPr>
        <w:t>（4）本基金可投资国债期货，国债期货的风险主要包含市场风险、流动性风险、信用风险、合规性风险以及国债期货实物交割风险等。</w:t>
      </w:r>
    </w:p>
    <w:p w14:paraId="39207EAC"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（5）本基金可投资资产支持类证券，资产支持证券的风险主要包括信用风险、利率风险、流动性风险、提前偿付风险等。</w:t>
      </w:r>
    </w:p>
    <w:p w14:paraId="2EA86008"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（6）</w:t>
      </w:r>
      <w:r w:rsidRPr="0034046A">
        <w:rPr>
          <w:rFonts w:asciiTheme="minorEastAsia" w:hAnsiTheme="minorEastAsia" w:hint="eastAsia"/>
          <w:szCs w:val="21"/>
        </w:rPr>
        <w:t>本基金可投资存托凭证，将面临中国存托凭证价格大幅波动甚至出现较大亏损的风险，以及与中国存托凭证发行机制相关的风险。</w:t>
      </w:r>
    </w:p>
    <w:p w14:paraId="0C78DAB1"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w:t>
      </w:r>
      <w:r w:rsidRPr="0034046A">
        <w:rPr>
          <w:rFonts w:asciiTheme="minorEastAsia" w:hAnsiTheme="minorEastAsia"/>
          <w:szCs w:val="21"/>
        </w:rPr>
        <w:t>7</w:t>
      </w:r>
      <w:r w:rsidRPr="0034046A">
        <w:rPr>
          <w:rFonts w:asciiTheme="minorEastAsia" w:hAnsiTheme="minorEastAsia" w:hint="eastAsia"/>
          <w:szCs w:val="21"/>
        </w:rPr>
        <w:t>）本基金可投资股票期权，股票期权的风险包括市场风险、流动性风险和基差风险。</w:t>
      </w:r>
    </w:p>
    <w:p w14:paraId="136A6C3B"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w:t>
      </w:r>
      <w:r w:rsidRPr="0034046A">
        <w:rPr>
          <w:rFonts w:asciiTheme="minorEastAsia" w:hAnsiTheme="minorEastAsia"/>
          <w:szCs w:val="21"/>
        </w:rPr>
        <w:t>8</w:t>
      </w:r>
      <w:r w:rsidRPr="0034046A">
        <w:rPr>
          <w:rFonts w:asciiTheme="minorEastAsia" w:hAnsiTheme="minorEastAsia" w:hint="eastAsia"/>
          <w:szCs w:val="21"/>
        </w:rPr>
        <w:t>）</w:t>
      </w:r>
      <w:r w:rsidRPr="0034046A">
        <w:rPr>
          <w:rFonts w:asciiTheme="minorEastAsia" w:hAnsiTheme="minorEastAsia"/>
          <w:szCs w:val="21"/>
        </w:rPr>
        <w:t>本基金可参与融资交易，融资交易的风险主要包括流动性风险、信用风险等，这些风险可能会给基金净值带来一定的负面影响和损失。</w:t>
      </w:r>
    </w:p>
    <w:p w14:paraId="74C6C230"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szCs w:val="21"/>
        </w:rPr>
        <w:t>（9）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08149278" w14:textId="77777777" w:rsidR="00530BA3" w:rsidRPr="0034046A" w:rsidRDefault="00400E6A">
      <w:pPr>
        <w:spacing w:line="340" w:lineRule="exact"/>
        <w:ind w:firstLineChars="200" w:firstLine="420"/>
        <w:contextualSpacing/>
        <w:rPr>
          <w:rFonts w:asciiTheme="minorEastAsia" w:hAnsiTheme="minorEastAsia"/>
          <w:bCs/>
          <w:szCs w:val="21"/>
        </w:rPr>
      </w:pPr>
      <w:r w:rsidRPr="0034046A">
        <w:rPr>
          <w:rFonts w:asciiTheme="minorEastAsia" w:hAnsiTheme="minorEastAsia" w:hint="eastAsia"/>
          <w:szCs w:val="21"/>
        </w:rPr>
        <w:t>2、</w:t>
      </w:r>
      <w:r w:rsidRPr="0034046A">
        <w:rPr>
          <w:rFonts w:asciiTheme="minorEastAsia" w:hAnsiTheme="minorEastAsia" w:hint="eastAsia"/>
          <w:bCs/>
          <w:szCs w:val="21"/>
        </w:rPr>
        <w:t>基金份额的最短持有期风险：本基金对每份基金份额设定一年锁定期，对投资者存在流动性风险。本基金主要运作方式设置为允许投资者日常申购，但对于每份份额设定一年锁定期，锁定期内基金份额持有人不能就该基金份额提出赎回申请。即投资者要考虑在锁定期资金不能赎回的风险。</w:t>
      </w:r>
    </w:p>
    <w:p w14:paraId="1843AFC8" w14:textId="77777777" w:rsidR="00530BA3" w:rsidRPr="0034046A" w:rsidRDefault="00400E6A">
      <w:pPr>
        <w:ind w:firstLineChars="200" w:firstLine="420"/>
        <w:rPr>
          <w:rFonts w:asciiTheme="minorEastAsia" w:hAnsiTheme="minorEastAsia"/>
          <w:szCs w:val="21"/>
        </w:rPr>
      </w:pPr>
      <w:r w:rsidRPr="0034046A">
        <w:rPr>
          <w:rFonts w:asciiTheme="minorEastAsia" w:hAnsiTheme="minorEastAsia"/>
          <w:szCs w:val="21"/>
        </w:rPr>
        <w:t>3、</w:t>
      </w:r>
      <w:r w:rsidRPr="0034046A">
        <w:rPr>
          <w:rFonts w:ascii="宋体" w:hAnsi="宋体" w:hint="eastAsia"/>
        </w:rPr>
        <w:t>开放式基金的共有风险</w:t>
      </w:r>
      <w:r w:rsidRPr="0034046A">
        <w:rPr>
          <w:rFonts w:asciiTheme="minorEastAsia" w:hAnsiTheme="minorEastAsia"/>
          <w:szCs w:val="21"/>
        </w:rPr>
        <w:t>：</w:t>
      </w:r>
      <w:r w:rsidRPr="0034046A">
        <w:rPr>
          <w:rFonts w:asciiTheme="minorEastAsia" w:hAnsiTheme="minorEastAsia" w:hint="eastAsia"/>
          <w:szCs w:val="21"/>
        </w:rPr>
        <w:t>市场风险、管理风险、职业道德风险、流动性风险、合规风险、投资管理风险、操作和技术风险、启用侧袋机制的风险以及不可抗力可能导致的其他风险。</w:t>
      </w:r>
    </w:p>
    <w:p w14:paraId="77BB493F"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hint="eastAsia"/>
          <w:b/>
          <w:szCs w:val="21"/>
        </w:rPr>
        <w:t>（二）重要提示</w:t>
      </w:r>
    </w:p>
    <w:p w14:paraId="66F5DB90"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中国证监会对本基金募集的核准，并不表明其对本基金的价值和收益作出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00F50FE3"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546F3282"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34046A">
        <w:rPr>
          <w:rFonts w:asciiTheme="minorEastAsia" w:hAnsiTheme="minorEastAsia"/>
          <w:szCs w:val="21"/>
        </w:rPr>
        <w:t>“</w:t>
      </w:r>
      <w:r w:rsidRPr="0034046A">
        <w:rPr>
          <w:rFonts w:asciiTheme="minorEastAsia" w:hAnsiTheme="minorEastAsia" w:hint="eastAsia"/>
          <w:szCs w:val="21"/>
        </w:rPr>
        <w:t>争议的处理和适用法律</w:t>
      </w:r>
      <w:r w:rsidRPr="0034046A">
        <w:rPr>
          <w:rFonts w:asciiTheme="minorEastAsia" w:hAnsiTheme="minorEastAsia"/>
          <w:szCs w:val="21"/>
        </w:rPr>
        <w:t>”</w:t>
      </w:r>
      <w:r w:rsidRPr="0034046A">
        <w:rPr>
          <w:rFonts w:asciiTheme="minorEastAsia" w:hAnsiTheme="minorEastAsia" w:hint="eastAsia"/>
          <w:szCs w:val="21"/>
        </w:rPr>
        <w:t>。</w:t>
      </w:r>
    </w:p>
    <w:p w14:paraId="48F18429" w14:textId="77777777" w:rsidR="00530BA3" w:rsidRPr="0034046A" w:rsidRDefault="00530BA3">
      <w:pPr>
        <w:spacing w:line="340" w:lineRule="exact"/>
        <w:ind w:firstLineChars="200" w:firstLine="420"/>
        <w:contextualSpacing/>
        <w:rPr>
          <w:rFonts w:asciiTheme="minorEastAsia" w:hAnsiTheme="minorEastAsia"/>
          <w:szCs w:val="21"/>
        </w:rPr>
      </w:pPr>
    </w:p>
    <w:p w14:paraId="74680384"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b/>
          <w:szCs w:val="21"/>
        </w:rPr>
        <w:lastRenderedPageBreak/>
        <w:t>五</w:t>
      </w:r>
      <w:r w:rsidRPr="0034046A">
        <w:rPr>
          <w:rFonts w:asciiTheme="minorEastAsia" w:hAnsiTheme="minorEastAsia" w:hint="eastAsia"/>
          <w:b/>
          <w:szCs w:val="21"/>
        </w:rPr>
        <w:t>、</w:t>
      </w:r>
      <w:r w:rsidRPr="0034046A">
        <w:rPr>
          <w:rFonts w:asciiTheme="minorEastAsia" w:hAnsiTheme="minorEastAsia"/>
          <w:b/>
          <w:szCs w:val="21"/>
        </w:rPr>
        <w:t>其他资料查询方式</w:t>
      </w:r>
    </w:p>
    <w:p w14:paraId="555BCB00"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以下资料详见东方阿尔法基金官方网站【www.dfa66.com】【客服电话：400-</w:t>
      </w:r>
      <w:r w:rsidRPr="0034046A">
        <w:rPr>
          <w:rFonts w:asciiTheme="minorEastAsia" w:hAnsiTheme="minorEastAsia"/>
          <w:szCs w:val="21"/>
        </w:rPr>
        <w:t>930</w:t>
      </w:r>
      <w:r w:rsidRPr="0034046A">
        <w:rPr>
          <w:rFonts w:asciiTheme="minorEastAsia" w:hAnsiTheme="minorEastAsia" w:hint="eastAsia"/>
          <w:szCs w:val="21"/>
        </w:rPr>
        <w:t>-</w:t>
      </w:r>
      <w:r w:rsidRPr="0034046A">
        <w:rPr>
          <w:rFonts w:asciiTheme="minorEastAsia" w:hAnsiTheme="minorEastAsia"/>
          <w:szCs w:val="21"/>
        </w:rPr>
        <w:t>6677</w:t>
      </w:r>
      <w:r w:rsidRPr="0034046A">
        <w:rPr>
          <w:rFonts w:asciiTheme="minorEastAsia" w:hAnsiTheme="minorEastAsia" w:hint="eastAsia"/>
          <w:szCs w:val="21"/>
        </w:rPr>
        <w:t>】</w:t>
      </w:r>
    </w:p>
    <w:p w14:paraId="3D879624" w14:textId="77777777" w:rsidR="00530BA3" w:rsidRPr="0034046A" w:rsidRDefault="00400E6A">
      <w:pPr>
        <w:spacing w:line="340" w:lineRule="exact"/>
        <w:ind w:firstLineChars="200" w:firstLine="420"/>
        <w:contextualSpacing/>
        <w:rPr>
          <w:rFonts w:asciiTheme="minorEastAsia" w:hAnsiTheme="minorEastAsia"/>
          <w:szCs w:val="21"/>
        </w:rPr>
      </w:pPr>
      <w:r w:rsidRPr="0034046A">
        <w:rPr>
          <w:rFonts w:asciiTheme="minorEastAsia" w:hAnsiTheme="minorEastAsia" w:hint="eastAsia"/>
          <w:szCs w:val="21"/>
        </w:rPr>
        <w:t>（1）基金合同、托管协议、招募说明书</w:t>
      </w:r>
    </w:p>
    <w:p w14:paraId="1597C670" w14:textId="77777777" w:rsidR="00530BA3" w:rsidRPr="0034046A" w:rsidRDefault="00400E6A">
      <w:pPr>
        <w:pStyle w:val="aa"/>
        <w:spacing w:line="340" w:lineRule="exact"/>
        <w:ind w:left="420" w:firstLineChars="0" w:firstLine="0"/>
        <w:contextualSpacing/>
        <w:rPr>
          <w:rFonts w:asciiTheme="minorEastAsia" w:hAnsiTheme="minorEastAsia"/>
          <w:szCs w:val="21"/>
        </w:rPr>
      </w:pPr>
      <w:r w:rsidRPr="0034046A">
        <w:rPr>
          <w:rFonts w:asciiTheme="minorEastAsia" w:hAnsiTheme="minorEastAsia" w:hint="eastAsia"/>
          <w:szCs w:val="21"/>
        </w:rPr>
        <w:t>（2）定期报告，包括基金季度报告、中期报告和年度报告</w:t>
      </w:r>
    </w:p>
    <w:p w14:paraId="7AA4649E" w14:textId="77777777" w:rsidR="00530BA3" w:rsidRPr="0034046A" w:rsidRDefault="00400E6A">
      <w:pPr>
        <w:pStyle w:val="aa"/>
        <w:spacing w:line="340" w:lineRule="exact"/>
        <w:ind w:left="420" w:firstLineChars="0" w:firstLine="0"/>
        <w:contextualSpacing/>
        <w:rPr>
          <w:rFonts w:asciiTheme="minorEastAsia" w:hAnsiTheme="minorEastAsia"/>
          <w:szCs w:val="21"/>
        </w:rPr>
      </w:pPr>
      <w:r w:rsidRPr="0034046A">
        <w:rPr>
          <w:rFonts w:asciiTheme="minorEastAsia" w:hAnsiTheme="minorEastAsia" w:hint="eastAsia"/>
          <w:szCs w:val="21"/>
        </w:rPr>
        <w:t>（3）基金份额净值</w:t>
      </w:r>
    </w:p>
    <w:p w14:paraId="0FB4E881" w14:textId="77777777" w:rsidR="00530BA3" w:rsidRPr="0034046A" w:rsidRDefault="00400E6A">
      <w:pPr>
        <w:pStyle w:val="aa"/>
        <w:spacing w:line="340" w:lineRule="exact"/>
        <w:ind w:left="420" w:firstLineChars="0" w:firstLine="0"/>
        <w:contextualSpacing/>
        <w:rPr>
          <w:rFonts w:asciiTheme="minorEastAsia" w:hAnsiTheme="minorEastAsia"/>
          <w:szCs w:val="21"/>
        </w:rPr>
      </w:pPr>
      <w:r w:rsidRPr="0034046A">
        <w:rPr>
          <w:rFonts w:asciiTheme="minorEastAsia" w:hAnsiTheme="minorEastAsia" w:hint="eastAsia"/>
          <w:szCs w:val="21"/>
        </w:rPr>
        <w:t>（4）基金销售机构及联系方式</w:t>
      </w:r>
    </w:p>
    <w:p w14:paraId="2A484DF1" w14:textId="77777777" w:rsidR="00530BA3" w:rsidRPr="0034046A" w:rsidRDefault="00400E6A">
      <w:pPr>
        <w:pStyle w:val="aa"/>
        <w:spacing w:line="340" w:lineRule="exact"/>
        <w:ind w:left="420" w:firstLineChars="0" w:firstLine="0"/>
        <w:contextualSpacing/>
        <w:rPr>
          <w:rFonts w:asciiTheme="minorEastAsia" w:hAnsiTheme="minorEastAsia"/>
          <w:szCs w:val="21"/>
        </w:rPr>
      </w:pPr>
      <w:r w:rsidRPr="0034046A">
        <w:rPr>
          <w:rFonts w:asciiTheme="minorEastAsia" w:hAnsiTheme="minorEastAsia" w:hint="eastAsia"/>
          <w:szCs w:val="21"/>
        </w:rPr>
        <w:t>（5）其他重要资料</w:t>
      </w:r>
    </w:p>
    <w:p w14:paraId="32E2EF6B" w14:textId="77777777" w:rsidR="00530BA3" w:rsidRPr="0034046A" w:rsidRDefault="00530BA3">
      <w:pPr>
        <w:pStyle w:val="aa"/>
        <w:spacing w:line="340" w:lineRule="exact"/>
        <w:ind w:left="420" w:firstLineChars="0" w:firstLine="0"/>
        <w:contextualSpacing/>
        <w:rPr>
          <w:rFonts w:asciiTheme="minorEastAsia" w:hAnsiTheme="minorEastAsia"/>
          <w:szCs w:val="21"/>
        </w:rPr>
      </w:pPr>
    </w:p>
    <w:p w14:paraId="47079FAE" w14:textId="77777777" w:rsidR="00530BA3" w:rsidRPr="0034046A" w:rsidRDefault="00400E6A">
      <w:pPr>
        <w:spacing w:line="340" w:lineRule="exact"/>
        <w:contextualSpacing/>
        <w:rPr>
          <w:rFonts w:asciiTheme="minorEastAsia" w:hAnsiTheme="minorEastAsia"/>
          <w:b/>
          <w:szCs w:val="21"/>
        </w:rPr>
      </w:pPr>
      <w:r w:rsidRPr="0034046A">
        <w:rPr>
          <w:rFonts w:asciiTheme="minorEastAsia" w:hAnsiTheme="minorEastAsia"/>
          <w:b/>
          <w:szCs w:val="21"/>
        </w:rPr>
        <w:t>六</w:t>
      </w:r>
      <w:r w:rsidRPr="0034046A">
        <w:rPr>
          <w:rFonts w:asciiTheme="minorEastAsia" w:hAnsiTheme="minorEastAsia" w:hint="eastAsia"/>
          <w:b/>
          <w:szCs w:val="21"/>
        </w:rPr>
        <w:t>、</w:t>
      </w:r>
      <w:r w:rsidRPr="0034046A">
        <w:rPr>
          <w:rFonts w:asciiTheme="minorEastAsia" w:hAnsiTheme="minorEastAsia"/>
          <w:b/>
          <w:szCs w:val="21"/>
        </w:rPr>
        <w:t>其他情况说明</w:t>
      </w:r>
    </w:p>
    <w:p w14:paraId="0A85BED0" w14:textId="77777777" w:rsidR="00530BA3" w:rsidRDefault="00400E6A">
      <w:pPr>
        <w:spacing w:line="340" w:lineRule="exact"/>
        <w:ind w:firstLineChars="200" w:firstLine="420"/>
        <w:contextualSpacing/>
        <w:rPr>
          <w:rFonts w:asciiTheme="minorEastAsia" w:hAnsiTheme="minorEastAsia"/>
          <w:bCs/>
          <w:szCs w:val="21"/>
        </w:rPr>
      </w:pPr>
      <w:r w:rsidRPr="0034046A">
        <w:rPr>
          <w:rFonts w:asciiTheme="minorEastAsia" w:hAnsiTheme="minorEastAsia" w:hint="eastAsia"/>
          <w:szCs w:val="21"/>
        </w:rPr>
        <w:t>无</w:t>
      </w:r>
    </w:p>
    <w:sectPr w:rsidR="00530BA3">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B18DAB" w14:textId="77777777" w:rsidR="00A6070A" w:rsidRDefault="00A6070A">
      <w:r>
        <w:separator/>
      </w:r>
    </w:p>
  </w:endnote>
  <w:endnote w:type="continuationSeparator" w:id="0">
    <w:p w14:paraId="3E9119D1" w14:textId="77777777" w:rsidR="00A6070A" w:rsidRDefault="00A6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sdtPr>
    <w:sdtEndPr/>
    <w:sdtContent>
      <w:p w14:paraId="046AD92B" w14:textId="77777777" w:rsidR="00530BA3" w:rsidRDefault="00400E6A">
        <w:pPr>
          <w:pStyle w:val="a4"/>
          <w:jc w:val="center"/>
        </w:pPr>
        <w:r>
          <w:fldChar w:fldCharType="begin"/>
        </w:r>
        <w:r>
          <w:instrText>PAGE   \* MERGEFORMAT</w:instrText>
        </w:r>
        <w:r>
          <w:fldChar w:fldCharType="separate"/>
        </w:r>
        <w:r w:rsidR="0068660C" w:rsidRPr="0068660C">
          <w:rPr>
            <w:noProof/>
            <w:lang w:val="zh-CN"/>
          </w:rPr>
          <w:t>4</w:t>
        </w:r>
        <w:r>
          <w:fldChar w:fldCharType="end"/>
        </w:r>
      </w:p>
    </w:sdtContent>
  </w:sdt>
  <w:p w14:paraId="121A015E" w14:textId="77777777" w:rsidR="00530BA3" w:rsidRDefault="00530BA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882E5A" w14:textId="77777777" w:rsidR="00A6070A" w:rsidRDefault="00A6070A">
      <w:r>
        <w:separator/>
      </w:r>
    </w:p>
  </w:footnote>
  <w:footnote w:type="continuationSeparator" w:id="0">
    <w:p w14:paraId="3FBFD9C4" w14:textId="77777777" w:rsidR="00A6070A" w:rsidRDefault="00A607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4Y2JmMmI4NGJiMmU5MGVjZmNlMzljN2UzM2M2YjUifQ=="/>
  </w:docVars>
  <w:rsids>
    <w:rsidRoot w:val="00C9276B"/>
    <w:rsid w:val="00002635"/>
    <w:rsid w:val="000028DB"/>
    <w:rsid w:val="00003981"/>
    <w:rsid w:val="00027BA3"/>
    <w:rsid w:val="00035DF0"/>
    <w:rsid w:val="00035FB5"/>
    <w:rsid w:val="00074340"/>
    <w:rsid w:val="00075E30"/>
    <w:rsid w:val="000805FE"/>
    <w:rsid w:val="00095BBF"/>
    <w:rsid w:val="000C07A8"/>
    <w:rsid w:val="000D7E21"/>
    <w:rsid w:val="000E6610"/>
    <w:rsid w:val="001038E9"/>
    <w:rsid w:val="00131A76"/>
    <w:rsid w:val="001417A0"/>
    <w:rsid w:val="001536AB"/>
    <w:rsid w:val="001739BB"/>
    <w:rsid w:val="0018376C"/>
    <w:rsid w:val="001857D4"/>
    <w:rsid w:val="001A6B72"/>
    <w:rsid w:val="001A7C67"/>
    <w:rsid w:val="001B09D7"/>
    <w:rsid w:val="001B4D1E"/>
    <w:rsid w:val="001D65A5"/>
    <w:rsid w:val="001E3DF7"/>
    <w:rsid w:val="001F742E"/>
    <w:rsid w:val="00224962"/>
    <w:rsid w:val="00227272"/>
    <w:rsid w:val="0024041C"/>
    <w:rsid w:val="00253ADE"/>
    <w:rsid w:val="00260A5C"/>
    <w:rsid w:val="00265C67"/>
    <w:rsid w:val="002871D4"/>
    <w:rsid w:val="002876C1"/>
    <w:rsid w:val="002A53BF"/>
    <w:rsid w:val="002B65F1"/>
    <w:rsid w:val="002B757A"/>
    <w:rsid w:val="002C5E5F"/>
    <w:rsid w:val="002D4146"/>
    <w:rsid w:val="002E56ED"/>
    <w:rsid w:val="002F1C69"/>
    <w:rsid w:val="002F33D7"/>
    <w:rsid w:val="0030204D"/>
    <w:rsid w:val="00322DFB"/>
    <w:rsid w:val="003312C5"/>
    <w:rsid w:val="00335CDB"/>
    <w:rsid w:val="0034046A"/>
    <w:rsid w:val="00366C19"/>
    <w:rsid w:val="00387A98"/>
    <w:rsid w:val="00393690"/>
    <w:rsid w:val="003C1A67"/>
    <w:rsid w:val="003D38E8"/>
    <w:rsid w:val="003D449D"/>
    <w:rsid w:val="003E319A"/>
    <w:rsid w:val="00400E6A"/>
    <w:rsid w:val="004101A6"/>
    <w:rsid w:val="00410E4E"/>
    <w:rsid w:val="00411D8D"/>
    <w:rsid w:val="004222D9"/>
    <w:rsid w:val="00433B63"/>
    <w:rsid w:val="00442334"/>
    <w:rsid w:val="00453549"/>
    <w:rsid w:val="004544EB"/>
    <w:rsid w:val="00461049"/>
    <w:rsid w:val="0046126C"/>
    <w:rsid w:val="00461ACC"/>
    <w:rsid w:val="0047358F"/>
    <w:rsid w:val="00474873"/>
    <w:rsid w:val="0048602F"/>
    <w:rsid w:val="004C13DC"/>
    <w:rsid w:val="004C7F14"/>
    <w:rsid w:val="004E1F83"/>
    <w:rsid w:val="004E5C28"/>
    <w:rsid w:val="004E7BBB"/>
    <w:rsid w:val="00502DAF"/>
    <w:rsid w:val="00503D3A"/>
    <w:rsid w:val="00514EF3"/>
    <w:rsid w:val="00530BA3"/>
    <w:rsid w:val="005658A5"/>
    <w:rsid w:val="00570986"/>
    <w:rsid w:val="0058312A"/>
    <w:rsid w:val="005946B7"/>
    <w:rsid w:val="005B0E50"/>
    <w:rsid w:val="005B0FEE"/>
    <w:rsid w:val="005D7E43"/>
    <w:rsid w:val="005F0948"/>
    <w:rsid w:val="0060065A"/>
    <w:rsid w:val="00601F1E"/>
    <w:rsid w:val="00621CD0"/>
    <w:rsid w:val="00663768"/>
    <w:rsid w:val="006778AD"/>
    <w:rsid w:val="0068660C"/>
    <w:rsid w:val="006E3305"/>
    <w:rsid w:val="006F49B0"/>
    <w:rsid w:val="00700C32"/>
    <w:rsid w:val="007043F3"/>
    <w:rsid w:val="00705EAA"/>
    <w:rsid w:val="00733019"/>
    <w:rsid w:val="00735306"/>
    <w:rsid w:val="0074027F"/>
    <w:rsid w:val="00740BA0"/>
    <w:rsid w:val="0074374B"/>
    <w:rsid w:val="00780781"/>
    <w:rsid w:val="007811F5"/>
    <w:rsid w:val="00796F91"/>
    <w:rsid w:val="007D1D02"/>
    <w:rsid w:val="007E53B8"/>
    <w:rsid w:val="00817C56"/>
    <w:rsid w:val="00822A3A"/>
    <w:rsid w:val="00826ECA"/>
    <w:rsid w:val="008340DE"/>
    <w:rsid w:val="008436C9"/>
    <w:rsid w:val="00846B05"/>
    <w:rsid w:val="00884E15"/>
    <w:rsid w:val="00895606"/>
    <w:rsid w:val="008976B8"/>
    <w:rsid w:val="008A21AE"/>
    <w:rsid w:val="008D074A"/>
    <w:rsid w:val="008D155B"/>
    <w:rsid w:val="008D39EF"/>
    <w:rsid w:val="008F6FF6"/>
    <w:rsid w:val="00911159"/>
    <w:rsid w:val="009234CA"/>
    <w:rsid w:val="00934ED3"/>
    <w:rsid w:val="00937FF3"/>
    <w:rsid w:val="00964B82"/>
    <w:rsid w:val="00966365"/>
    <w:rsid w:val="009715AE"/>
    <w:rsid w:val="00971779"/>
    <w:rsid w:val="00975267"/>
    <w:rsid w:val="00975C1D"/>
    <w:rsid w:val="00976C18"/>
    <w:rsid w:val="00980F4E"/>
    <w:rsid w:val="00990B72"/>
    <w:rsid w:val="00993A45"/>
    <w:rsid w:val="00995508"/>
    <w:rsid w:val="009B02C0"/>
    <w:rsid w:val="009B5CE5"/>
    <w:rsid w:val="009C6ABD"/>
    <w:rsid w:val="009E52B4"/>
    <w:rsid w:val="00A0119C"/>
    <w:rsid w:val="00A12F39"/>
    <w:rsid w:val="00A151EC"/>
    <w:rsid w:val="00A4204A"/>
    <w:rsid w:val="00A6070A"/>
    <w:rsid w:val="00A62C8E"/>
    <w:rsid w:val="00A81310"/>
    <w:rsid w:val="00A82C57"/>
    <w:rsid w:val="00A85F79"/>
    <w:rsid w:val="00AB473A"/>
    <w:rsid w:val="00AC17E1"/>
    <w:rsid w:val="00AE44C0"/>
    <w:rsid w:val="00AF0803"/>
    <w:rsid w:val="00AF4C00"/>
    <w:rsid w:val="00B0443E"/>
    <w:rsid w:val="00B0628E"/>
    <w:rsid w:val="00B13C49"/>
    <w:rsid w:val="00B1573C"/>
    <w:rsid w:val="00B161F0"/>
    <w:rsid w:val="00B34F28"/>
    <w:rsid w:val="00B379CB"/>
    <w:rsid w:val="00B42188"/>
    <w:rsid w:val="00B43B75"/>
    <w:rsid w:val="00B61EBA"/>
    <w:rsid w:val="00BB3BE5"/>
    <w:rsid w:val="00BB4DBD"/>
    <w:rsid w:val="00BC6B30"/>
    <w:rsid w:val="00BE5320"/>
    <w:rsid w:val="00BF0199"/>
    <w:rsid w:val="00BF0FB5"/>
    <w:rsid w:val="00C02F28"/>
    <w:rsid w:val="00C04FCF"/>
    <w:rsid w:val="00C80EBC"/>
    <w:rsid w:val="00C83376"/>
    <w:rsid w:val="00C87C45"/>
    <w:rsid w:val="00C91203"/>
    <w:rsid w:val="00C9276B"/>
    <w:rsid w:val="00C97000"/>
    <w:rsid w:val="00CA69FD"/>
    <w:rsid w:val="00CD31CE"/>
    <w:rsid w:val="00CE45F1"/>
    <w:rsid w:val="00CE59C8"/>
    <w:rsid w:val="00D07E45"/>
    <w:rsid w:val="00D12B20"/>
    <w:rsid w:val="00D22C31"/>
    <w:rsid w:val="00D4452C"/>
    <w:rsid w:val="00D6161D"/>
    <w:rsid w:val="00D72973"/>
    <w:rsid w:val="00D9171E"/>
    <w:rsid w:val="00DA71C3"/>
    <w:rsid w:val="00DE6DFF"/>
    <w:rsid w:val="00DF3A73"/>
    <w:rsid w:val="00DF6C1C"/>
    <w:rsid w:val="00E00483"/>
    <w:rsid w:val="00E01CF5"/>
    <w:rsid w:val="00E0755E"/>
    <w:rsid w:val="00E37763"/>
    <w:rsid w:val="00E46B02"/>
    <w:rsid w:val="00E60419"/>
    <w:rsid w:val="00E658C4"/>
    <w:rsid w:val="00E66C05"/>
    <w:rsid w:val="00E76A3F"/>
    <w:rsid w:val="00E844CD"/>
    <w:rsid w:val="00E87237"/>
    <w:rsid w:val="00E90048"/>
    <w:rsid w:val="00E92573"/>
    <w:rsid w:val="00EA0311"/>
    <w:rsid w:val="00EA2A73"/>
    <w:rsid w:val="00EB3B24"/>
    <w:rsid w:val="00EC193E"/>
    <w:rsid w:val="00EC4022"/>
    <w:rsid w:val="00ED549B"/>
    <w:rsid w:val="00EE1EF8"/>
    <w:rsid w:val="00EE2851"/>
    <w:rsid w:val="00EF2BDB"/>
    <w:rsid w:val="00F079F9"/>
    <w:rsid w:val="00F13F63"/>
    <w:rsid w:val="00F17B54"/>
    <w:rsid w:val="00F214CE"/>
    <w:rsid w:val="00F34626"/>
    <w:rsid w:val="00F35547"/>
    <w:rsid w:val="00F4177C"/>
    <w:rsid w:val="00F62953"/>
    <w:rsid w:val="00F77C06"/>
    <w:rsid w:val="00F86B88"/>
    <w:rsid w:val="00FA0CFC"/>
    <w:rsid w:val="00FE117F"/>
    <w:rsid w:val="0454765F"/>
    <w:rsid w:val="04EF2D88"/>
    <w:rsid w:val="10E75723"/>
    <w:rsid w:val="16FC296F"/>
    <w:rsid w:val="21EE534A"/>
    <w:rsid w:val="235003E9"/>
    <w:rsid w:val="34D95450"/>
    <w:rsid w:val="3B6E533A"/>
    <w:rsid w:val="445A0FFB"/>
    <w:rsid w:val="49FE28AB"/>
    <w:rsid w:val="4A7364C9"/>
    <w:rsid w:val="4F6A776F"/>
    <w:rsid w:val="5C0E3901"/>
    <w:rsid w:val="65DB6FF5"/>
    <w:rsid w:val="79C46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04FF846"/>
  <w15:docId w15:val="{C7B39254-C6F1-46DD-8B7B-2DE1685F2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link w:val="Char2"/>
    <w:uiPriority w:val="99"/>
    <w:semiHidden/>
    <w:unhideWhenUsed/>
    <w:qFormat/>
    <w:pPr>
      <w:snapToGrid w:val="0"/>
      <w:jc w:val="left"/>
    </w:pPr>
    <w:rPr>
      <w:sz w:val="18"/>
      <w:szCs w:val="18"/>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qFormat/>
    <w:rPr>
      <w:color w:val="0563C1" w:themeColor="hyperlink"/>
      <w:u w:val="single"/>
    </w:rPr>
  </w:style>
  <w:style w:type="character" w:styleId="a9">
    <w:name w:val="footnote reference"/>
    <w:basedOn w:val="a0"/>
    <w:uiPriority w:val="99"/>
    <w:semiHidden/>
    <w:unhideWhenUsed/>
    <w:qFormat/>
    <w:rPr>
      <w:vertAlign w:val="superscript"/>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a">
    <w:name w:val="List Paragraph"/>
    <w:basedOn w:val="a"/>
    <w:uiPriority w:val="34"/>
    <w:qFormat/>
    <w:pPr>
      <w:ind w:firstLineChars="200" w:firstLine="420"/>
    </w:pPr>
  </w:style>
  <w:style w:type="character" w:customStyle="1" w:styleId="1">
    <w:name w:val="不明显强调1"/>
    <w:basedOn w:val="a0"/>
    <w:uiPriority w:val="19"/>
    <w:qFormat/>
    <w:rPr>
      <w:i/>
      <w:iCs/>
      <w:color w:val="404040" w:themeColor="text1" w:themeTint="BF"/>
    </w:rPr>
  </w:style>
  <w:style w:type="character" w:customStyle="1" w:styleId="Char2">
    <w:name w:val="脚注文本 Char"/>
    <w:basedOn w:val="a0"/>
    <w:link w:val="a6"/>
    <w:uiPriority w:val="99"/>
    <w:semiHidden/>
    <w:qFormat/>
    <w:rPr>
      <w:sz w:val="18"/>
      <w:szCs w:val="18"/>
    </w:rPr>
  </w:style>
  <w:style w:type="character" w:customStyle="1" w:styleId="Char">
    <w:name w:val="批注框文本 Char"/>
    <w:basedOn w:val="a0"/>
    <w:link w:val="a3"/>
    <w:uiPriority w:val="99"/>
    <w:semiHidden/>
    <w:qFormat/>
    <w:rPr>
      <w:sz w:val="18"/>
      <w:szCs w:val="18"/>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paragraph" w:customStyle="1" w:styleId="md-size">
    <w:name w:val="md-size"/>
    <w:basedOn w:val="a"/>
    <w:pPr>
      <w:widowControl/>
      <w:spacing w:before="100" w:beforeAutospacing="1" w:after="100" w:afterAutospacing="1"/>
      <w:jc w:val="left"/>
    </w:pPr>
    <w:rPr>
      <w:rFonts w:ascii="宋体" w:eastAsia="宋体" w:hAnsi="宋体" w:cs="宋体"/>
      <w:kern w:val="0"/>
      <w:sz w:val="24"/>
      <w:szCs w:val="24"/>
    </w:rPr>
  </w:style>
  <w:style w:type="character" w:customStyle="1" w:styleId="md-size1">
    <w:name w:val="md-size1"/>
    <w:basedOn w:val="a0"/>
  </w:style>
  <w:style w:type="character" w:customStyle="1" w:styleId="4Char">
    <w:name w:val="标题 4 Char"/>
    <w:basedOn w:val="a0"/>
    <w:link w:val="4"/>
    <w:uiPriority w:val="9"/>
    <w:semiHidden/>
    <w:rPr>
      <w:rFonts w:asciiTheme="majorHAnsi" w:eastAsiaTheme="majorEastAsia" w:hAnsiTheme="majorHAnsi" w:cstheme="majorBidi"/>
      <w:b/>
      <w:bCs/>
      <w:kern w:val="2"/>
      <w:sz w:val="28"/>
      <w:szCs w:val="28"/>
    </w:rPr>
  </w:style>
  <w:style w:type="character" w:styleId="ab">
    <w:name w:val="annotation reference"/>
    <w:basedOn w:val="a0"/>
    <w:uiPriority w:val="99"/>
    <w:semiHidden/>
    <w:unhideWhenUsed/>
    <w:rsid w:val="00DF3A73"/>
    <w:rPr>
      <w:sz w:val="21"/>
      <w:szCs w:val="21"/>
    </w:rPr>
  </w:style>
  <w:style w:type="paragraph" w:styleId="ac">
    <w:name w:val="annotation text"/>
    <w:basedOn w:val="a"/>
    <w:link w:val="Char3"/>
    <w:uiPriority w:val="99"/>
    <w:semiHidden/>
    <w:unhideWhenUsed/>
    <w:rsid w:val="00DF3A73"/>
    <w:pPr>
      <w:jc w:val="left"/>
    </w:pPr>
  </w:style>
  <w:style w:type="character" w:customStyle="1" w:styleId="Char3">
    <w:name w:val="批注文字 Char"/>
    <w:basedOn w:val="a0"/>
    <w:link w:val="ac"/>
    <w:uiPriority w:val="99"/>
    <w:semiHidden/>
    <w:rsid w:val="00DF3A73"/>
    <w:rPr>
      <w:kern w:val="2"/>
      <w:sz w:val="21"/>
      <w:szCs w:val="22"/>
    </w:rPr>
  </w:style>
  <w:style w:type="paragraph" w:styleId="ad">
    <w:name w:val="annotation subject"/>
    <w:basedOn w:val="ac"/>
    <w:next w:val="ac"/>
    <w:link w:val="Char4"/>
    <w:uiPriority w:val="99"/>
    <w:semiHidden/>
    <w:unhideWhenUsed/>
    <w:rsid w:val="00DF3A73"/>
    <w:rPr>
      <w:b/>
      <w:bCs/>
    </w:rPr>
  </w:style>
  <w:style w:type="character" w:customStyle="1" w:styleId="Char4">
    <w:name w:val="批注主题 Char"/>
    <w:basedOn w:val="Char3"/>
    <w:link w:val="ad"/>
    <w:uiPriority w:val="99"/>
    <w:semiHidden/>
    <w:rsid w:val="00DF3A73"/>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A6B7618-FCC8-45AB-BD28-2BFC6A935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5</Pages>
  <Words>574</Words>
  <Characters>3278</Characters>
  <Application>Microsoft Office Word</Application>
  <DocSecurity>0</DocSecurity>
  <Lines>27</Lines>
  <Paragraphs>7</Paragraphs>
  <ScaleCrop>false</ScaleCrop>
  <Company/>
  <LinksUpToDate>false</LinksUpToDate>
  <CharactersWithSpaces>3845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戴聪子</cp:lastModifiedBy>
  <cp:revision>182</cp:revision>
  <cp:lastPrinted>2020-08-25T00:34:00Z</cp:lastPrinted>
  <dcterms:created xsi:type="dcterms:W3CDTF">2020-06-18T02:43:00Z</dcterms:created>
  <dcterms:modified xsi:type="dcterms:W3CDTF">2023-11-02T01:49:00Z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F0FD951AEA84419DAB7870B796B01C23</vt:lpwstr>
  </property>
</Properties>
</file>