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58AF" w:rsidRDefault="003764FD">
      <w:pPr>
        <w:adjustRightInd w:val="0"/>
        <w:snapToGrid w:val="0"/>
        <w:spacing w:line="360" w:lineRule="auto"/>
        <w:rPr>
          <w:rFonts w:ascii="宋体" w:hAnsi="宋体" w:cs="Arial"/>
          <w:szCs w:val="21"/>
        </w:rPr>
      </w:pPr>
      <w:bookmarkStart w:id="0" w:name="CLAUSE_4a8a96dcd6964f1791ff08be1c28aa5c"/>
      <w:bookmarkStart w:id="1" w:name="_GoBack"/>
      <w:bookmarkEnd w:id="1"/>
      <w:r>
        <w:rPr>
          <w:rFonts w:ascii="宋体" w:hAnsi="宋体" w:hint="eastAsia"/>
        </w:rPr>
        <w:t xml:space="preserve"> </w:t>
      </w:r>
      <w:r>
        <w:rPr>
          <w:rFonts w:ascii="宋体" w:hAnsi="宋体"/>
        </w:rPr>
        <w:t xml:space="preserve"> </w:t>
      </w:r>
      <w:bookmarkStart w:id="2" w:name="CTS_4a8a96dcd6964f1791ff08be1c28aa5c"/>
      <w:bookmarkStart w:id="3" w:name="CLAUSE_91f0a2055331492b8a9c9cc763a09e93"/>
      <w:bookmarkStart w:id="4" w:name="CLAUSE_468ded6493c9462ebc131b865f5d7da2"/>
      <w:bookmarkStart w:id="5" w:name="CLAUSE_4c693be6e66f4ed0aa54fcb7685cd808"/>
      <w:bookmarkEnd w:id="2"/>
    </w:p>
    <w:p w:rsidR="00EF58AF" w:rsidRDefault="00EF58AF">
      <w:pPr>
        <w:spacing w:line="360" w:lineRule="auto"/>
        <w:jc w:val="center"/>
        <w:rPr>
          <w:rFonts w:ascii="宋体" w:hAnsi="宋体" w:cs="Arial"/>
          <w:b/>
          <w:szCs w:val="21"/>
        </w:rPr>
      </w:pPr>
    </w:p>
    <w:p w:rsidR="00EF58AF" w:rsidRDefault="003764FD">
      <w:pPr>
        <w:spacing w:line="360" w:lineRule="auto"/>
        <w:jc w:val="center"/>
        <w:rPr>
          <w:rFonts w:ascii="黑体" w:eastAsia="黑体" w:hAnsi="黑体" w:cs="Arial"/>
          <w:b/>
          <w:sz w:val="44"/>
          <w:szCs w:val="44"/>
        </w:rPr>
      </w:pPr>
      <w:r>
        <w:rPr>
          <w:rFonts w:ascii="黑体" w:eastAsia="黑体" w:hAnsi="黑体" w:cs="Arial" w:hint="eastAsia"/>
          <w:b/>
          <w:sz w:val="44"/>
          <w:szCs w:val="44"/>
        </w:rPr>
        <w:t>东方阿尔法基金管理有限公司</w:t>
      </w:r>
    </w:p>
    <w:p w:rsidR="00EF58AF" w:rsidRDefault="003764FD">
      <w:pPr>
        <w:spacing w:line="360" w:lineRule="auto"/>
        <w:jc w:val="center"/>
        <w:rPr>
          <w:rFonts w:ascii="黑体" w:eastAsia="黑体" w:hAnsi="黑体" w:cs="Arial"/>
          <w:b/>
          <w:sz w:val="40"/>
          <w:szCs w:val="44"/>
        </w:rPr>
      </w:pPr>
      <w:r>
        <w:rPr>
          <w:rFonts w:ascii="黑体" w:eastAsia="黑体" w:hAnsi="黑体" w:cs="Arial" w:hint="eastAsia"/>
          <w:b/>
          <w:sz w:val="40"/>
          <w:szCs w:val="44"/>
        </w:rPr>
        <w:t>东方阿尔</w:t>
      </w:r>
      <w:proofErr w:type="gramStart"/>
      <w:r>
        <w:rPr>
          <w:rFonts w:ascii="黑体" w:eastAsia="黑体" w:hAnsi="黑体" w:cs="Arial" w:hint="eastAsia"/>
          <w:b/>
          <w:sz w:val="40"/>
          <w:szCs w:val="44"/>
        </w:rPr>
        <w:t>法招阳混合型</w:t>
      </w:r>
      <w:proofErr w:type="gramEnd"/>
      <w:r>
        <w:rPr>
          <w:rFonts w:ascii="黑体" w:eastAsia="黑体" w:hAnsi="黑体" w:cs="Arial" w:hint="eastAsia"/>
          <w:b/>
          <w:sz w:val="40"/>
          <w:szCs w:val="44"/>
        </w:rPr>
        <w:t>证券投资基金</w:t>
      </w:r>
    </w:p>
    <w:p w:rsidR="00EF58AF" w:rsidRDefault="003764FD">
      <w:pPr>
        <w:spacing w:line="360" w:lineRule="auto"/>
        <w:jc w:val="center"/>
        <w:rPr>
          <w:rFonts w:ascii="黑体" w:eastAsia="黑体" w:hAnsi="黑体"/>
          <w:b/>
          <w:sz w:val="44"/>
          <w:szCs w:val="44"/>
        </w:rPr>
      </w:pPr>
      <w:r>
        <w:rPr>
          <w:rFonts w:ascii="黑体" w:eastAsia="黑体" w:hAnsi="黑体" w:hint="eastAsia"/>
          <w:b/>
          <w:sz w:val="44"/>
          <w:szCs w:val="44"/>
        </w:rPr>
        <w:t>托管协议</w:t>
      </w:r>
    </w:p>
    <w:p w:rsidR="00EF58AF" w:rsidRDefault="00EF58AF">
      <w:pPr>
        <w:spacing w:line="360" w:lineRule="auto"/>
        <w:jc w:val="center"/>
        <w:rPr>
          <w:rFonts w:ascii="黑体" w:eastAsia="黑体" w:hAnsi="黑体"/>
          <w:b/>
          <w:sz w:val="44"/>
          <w:szCs w:val="44"/>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jc w:val="center"/>
        <w:rPr>
          <w:rFonts w:ascii="宋体" w:hAnsi="宋体"/>
        </w:rPr>
      </w:pPr>
    </w:p>
    <w:p w:rsidR="00EF58AF" w:rsidRDefault="00EF58AF">
      <w:pPr>
        <w:adjustRightInd w:val="0"/>
        <w:snapToGrid w:val="0"/>
        <w:spacing w:line="360" w:lineRule="auto"/>
        <w:rPr>
          <w:rFonts w:ascii="宋体" w:hAnsi="宋体"/>
        </w:rPr>
      </w:pPr>
    </w:p>
    <w:p w:rsidR="00EF58AF" w:rsidRDefault="00EF58AF">
      <w:pPr>
        <w:adjustRightInd w:val="0"/>
        <w:snapToGrid w:val="0"/>
        <w:spacing w:line="360" w:lineRule="auto"/>
        <w:jc w:val="center"/>
        <w:rPr>
          <w:rFonts w:ascii="宋体" w:hAnsi="宋体"/>
        </w:rPr>
      </w:pPr>
    </w:p>
    <w:p w:rsidR="00EF58AF" w:rsidRDefault="003764FD">
      <w:pPr>
        <w:adjustRightInd w:val="0"/>
        <w:snapToGrid w:val="0"/>
        <w:spacing w:line="360" w:lineRule="auto"/>
        <w:ind w:firstLineChars="600" w:firstLine="1687"/>
        <w:rPr>
          <w:rFonts w:ascii="宋体" w:hAnsi="宋体"/>
          <w:sz w:val="28"/>
        </w:rPr>
      </w:pPr>
      <w:r>
        <w:rPr>
          <w:rFonts w:ascii="宋体" w:hAnsi="宋体" w:hint="eastAsia"/>
          <w:b/>
          <w:sz w:val="28"/>
        </w:rPr>
        <w:t>基金管理人：</w:t>
      </w:r>
      <w:r>
        <w:rPr>
          <w:rFonts w:ascii="宋体" w:hAnsi="宋体" w:cs="Arial" w:hint="eastAsia"/>
          <w:bCs/>
          <w:sz w:val="28"/>
          <w:szCs w:val="28"/>
        </w:rPr>
        <w:t>东方阿尔法</w:t>
      </w:r>
      <w:r>
        <w:rPr>
          <w:rFonts w:ascii="宋体" w:hAnsi="宋体" w:hint="eastAsia"/>
          <w:sz w:val="28"/>
        </w:rPr>
        <w:t>基金管理有限公司</w:t>
      </w:r>
    </w:p>
    <w:p w:rsidR="00EF58AF" w:rsidRDefault="003764FD">
      <w:pPr>
        <w:adjustRightInd w:val="0"/>
        <w:snapToGrid w:val="0"/>
        <w:spacing w:line="360" w:lineRule="auto"/>
        <w:ind w:firstLineChars="600" w:firstLine="1687"/>
        <w:rPr>
          <w:rFonts w:ascii="宋体" w:hAnsi="宋体"/>
          <w:sz w:val="28"/>
        </w:rPr>
      </w:pPr>
      <w:r>
        <w:rPr>
          <w:rFonts w:ascii="宋体" w:hAnsi="宋体" w:hint="eastAsia"/>
          <w:b/>
          <w:sz w:val="28"/>
        </w:rPr>
        <w:t>基金托管人：</w:t>
      </w:r>
      <w:r>
        <w:rPr>
          <w:rFonts w:ascii="宋体" w:hAnsi="宋体" w:hint="eastAsia"/>
          <w:sz w:val="28"/>
        </w:rPr>
        <w:t>招商银行股份有限公司</w:t>
      </w:r>
    </w:p>
    <w:p w:rsidR="00494816" w:rsidRDefault="00494816">
      <w:pPr>
        <w:adjustRightInd w:val="0"/>
        <w:snapToGrid w:val="0"/>
        <w:spacing w:line="360" w:lineRule="auto"/>
        <w:ind w:firstLineChars="600" w:firstLine="1680"/>
        <w:rPr>
          <w:rFonts w:ascii="宋体" w:hAnsi="宋体"/>
          <w:sz w:val="28"/>
        </w:rPr>
      </w:pPr>
    </w:p>
    <w:p w:rsidR="00494816" w:rsidRPr="00494816" w:rsidRDefault="00494816" w:rsidP="00D74DA2">
      <w:pPr>
        <w:adjustRightInd w:val="0"/>
        <w:snapToGrid w:val="0"/>
        <w:spacing w:line="360" w:lineRule="auto"/>
        <w:ind w:firstLineChars="1000" w:firstLine="2800"/>
        <w:rPr>
          <w:rFonts w:ascii="宋体" w:hAnsi="宋体"/>
          <w:sz w:val="28"/>
        </w:rPr>
      </w:pPr>
      <w:r>
        <w:rPr>
          <w:rFonts w:ascii="宋体" w:hAnsi="宋体"/>
          <w:sz w:val="28"/>
        </w:rPr>
        <w:t>二零二三年八月修订</w:t>
      </w:r>
    </w:p>
    <w:p w:rsidR="00EF58AF" w:rsidRDefault="00EF58AF">
      <w:pPr>
        <w:adjustRightInd w:val="0"/>
        <w:snapToGrid w:val="0"/>
        <w:spacing w:line="360" w:lineRule="auto"/>
        <w:jc w:val="center"/>
        <w:rPr>
          <w:rFonts w:ascii="宋体" w:hAnsi="宋体"/>
          <w:sz w:val="28"/>
        </w:rPr>
      </w:pPr>
    </w:p>
    <w:p w:rsidR="00EF58AF" w:rsidRPr="002174A6" w:rsidRDefault="00EF58AF">
      <w:pPr>
        <w:adjustRightInd w:val="0"/>
        <w:snapToGrid w:val="0"/>
        <w:spacing w:line="360" w:lineRule="auto"/>
        <w:rPr>
          <w:rFonts w:ascii="宋体" w:hAnsi="宋体" w:cs="Arial"/>
          <w:bCs/>
          <w:szCs w:val="21"/>
        </w:rPr>
        <w:sectPr w:rsidR="00EF58AF" w:rsidRPr="002174A6">
          <w:headerReference w:type="default" r:id="rId51"/>
          <w:type w:val="continuous"/>
          <w:pgSz w:w="11906" w:h="16838"/>
          <w:pgMar w:top="1418" w:right="1701" w:bottom="1418" w:left="1701" w:header="851" w:footer="992" w:gutter="0"/>
          <w:cols w:space="425"/>
          <w:docGrid w:type="lines" w:linePitch="312"/>
        </w:sectPr>
      </w:pPr>
      <w:bookmarkStart w:id="6" w:name="CTS_64c90b257f834672b082f6ac2cf896d3"/>
      <w:bookmarkStart w:id="7" w:name="CLAUSE_727662275f9a4aec82ab8b8233c36637"/>
      <w:bookmarkStart w:id="8" w:name="CLAUSE_bbd036a1a28c47a6a84d9b8ff7038d71"/>
      <w:bookmarkStart w:id="9" w:name="CLAUSE_bd58dd527ca2412b839164a45ea933d0"/>
      <w:bookmarkEnd w:id="0"/>
      <w:bookmarkEnd w:id="3"/>
      <w:bookmarkEnd w:id="4"/>
      <w:bookmarkEnd w:id="5"/>
      <w:bookmarkEnd w:id="6"/>
    </w:p>
    <w:p w:rsidR="00EF58AF" w:rsidRDefault="003764FD">
      <w:pPr>
        <w:adjustRightInd w:val="0"/>
        <w:snapToGrid w:val="0"/>
        <w:spacing w:line="360" w:lineRule="auto"/>
        <w:rPr>
          <w:rFonts w:ascii="宋体" w:hAnsi="宋体" w:cs="Arial"/>
          <w:bCs/>
          <w:szCs w:val="21"/>
        </w:rPr>
      </w:pPr>
      <w:bookmarkStart w:id="10" w:name="CLAUSE_9d4d248183564d13a0cbc7dcce6e82c7"/>
      <w:r>
        <w:rPr>
          <w:rFonts w:ascii="宋体" w:hAnsi="宋体"/>
        </w:rPr>
        <w:lastRenderedPageBreak/>
        <w:t xml:space="preserve"> </w:t>
      </w:r>
      <w:bookmarkStart w:id="11" w:name="CTS_9d4d248183564d13a0cbc7dcce6e82c7"/>
      <w:bookmarkEnd w:id="11"/>
    </w:p>
    <w:p w:rsidR="00EF58AF" w:rsidRDefault="003764FD">
      <w:pPr>
        <w:spacing w:line="360" w:lineRule="auto"/>
        <w:jc w:val="center"/>
        <w:rPr>
          <w:rFonts w:ascii="宋体" w:hAnsi="宋体"/>
          <w:b/>
          <w:sz w:val="32"/>
          <w:szCs w:val="32"/>
        </w:rPr>
      </w:pPr>
      <w:r>
        <w:rPr>
          <w:rFonts w:ascii="宋体" w:hAnsi="宋体" w:hint="eastAsia"/>
          <w:b/>
          <w:sz w:val="32"/>
          <w:szCs w:val="32"/>
        </w:rPr>
        <w:t>目录</w:t>
      </w:r>
    </w:p>
    <w:p w:rsidR="00EF58AF" w:rsidRDefault="003764FD">
      <w:pPr>
        <w:pStyle w:val="10"/>
        <w:tabs>
          <w:tab w:val="left" w:pos="1500"/>
          <w:tab w:val="right" w:leader="dot" w:pos="8494"/>
        </w:tabs>
        <w:spacing w:line="360" w:lineRule="auto"/>
        <w:rPr>
          <w:rFonts w:ascii="宋体" w:hAnsi="宋体"/>
          <w:sz w:val="24"/>
        </w:rPr>
      </w:pPr>
      <w:r>
        <w:rPr>
          <w:rFonts w:ascii="宋体" w:hAnsi="宋体"/>
          <w:sz w:val="24"/>
        </w:rPr>
        <w:fldChar w:fldCharType="begin"/>
      </w:r>
      <w:r>
        <w:rPr>
          <w:rFonts w:ascii="宋体" w:hAnsi="宋体"/>
          <w:sz w:val="24"/>
        </w:rPr>
        <w:instrText xml:space="preserve"> TOC \o "1-2" \h \z </w:instrText>
      </w:r>
      <w:r>
        <w:rPr>
          <w:rFonts w:ascii="宋体" w:hAnsi="宋体"/>
          <w:sz w:val="24"/>
        </w:rPr>
        <w:fldChar w:fldCharType="separate"/>
      </w:r>
      <w:hyperlink w:anchor="_Toc3276848" w:history="1">
        <w:r>
          <w:rPr>
            <w:rStyle w:val="af1"/>
            <w:rFonts w:ascii="宋体" w:hAnsi="宋体" w:hint="eastAsia"/>
            <w:sz w:val="24"/>
          </w:rPr>
          <w:t>第一部分</w:t>
        </w:r>
        <w:r>
          <w:rPr>
            <w:rFonts w:ascii="宋体" w:hAnsi="宋体"/>
            <w:sz w:val="24"/>
          </w:rPr>
          <w:tab/>
        </w:r>
        <w:r>
          <w:rPr>
            <w:rStyle w:val="af1"/>
            <w:rFonts w:ascii="宋体" w:hAnsi="宋体" w:hint="eastAsia"/>
            <w:sz w:val="24"/>
          </w:rPr>
          <w:t>基金托管协议当事人</w:t>
        </w:r>
        <w:r>
          <w:rPr>
            <w:rFonts w:ascii="宋体" w:hAnsi="宋体"/>
            <w:sz w:val="24"/>
          </w:rPr>
          <w:tab/>
          <w:t>1-</w:t>
        </w:r>
        <w:r>
          <w:rPr>
            <w:rFonts w:ascii="宋体" w:hAnsi="宋体" w:hint="eastAsia"/>
            <w:sz w:val="24"/>
          </w:rPr>
          <w:t>（</w:t>
        </w:r>
        <w:r>
          <w:rPr>
            <w:rFonts w:ascii="宋体" w:hAnsi="宋体"/>
            <w:sz w:val="24"/>
          </w:rPr>
          <w:t>1）</w:t>
        </w:r>
      </w:hyperlink>
    </w:p>
    <w:p w:rsidR="00EF58AF" w:rsidRDefault="00B61CC3">
      <w:pPr>
        <w:pStyle w:val="10"/>
        <w:tabs>
          <w:tab w:val="left" w:pos="1500"/>
          <w:tab w:val="right" w:leader="dot" w:pos="8494"/>
        </w:tabs>
        <w:spacing w:line="360" w:lineRule="auto"/>
        <w:rPr>
          <w:rFonts w:ascii="宋体" w:hAnsi="宋体"/>
          <w:sz w:val="24"/>
        </w:rPr>
      </w:pPr>
      <w:hyperlink w:anchor="_Toc3276849" w:history="1">
        <w:r w:rsidR="003764FD">
          <w:rPr>
            <w:rStyle w:val="af1"/>
            <w:rFonts w:ascii="宋体" w:hAnsi="宋体" w:hint="eastAsia"/>
            <w:sz w:val="24"/>
          </w:rPr>
          <w:t>第二部分</w:t>
        </w:r>
        <w:r w:rsidR="003764FD">
          <w:rPr>
            <w:rFonts w:ascii="宋体" w:hAnsi="宋体"/>
            <w:sz w:val="24"/>
          </w:rPr>
          <w:tab/>
        </w:r>
        <w:r w:rsidR="003764FD">
          <w:rPr>
            <w:rStyle w:val="af1"/>
            <w:rFonts w:ascii="宋体" w:hAnsi="宋体" w:hint="eastAsia"/>
            <w:sz w:val="24"/>
          </w:rPr>
          <w:t>基金托管协议的依据、目的和原则</w:t>
        </w:r>
        <w:r w:rsidR="003764FD">
          <w:rPr>
            <w:rFonts w:ascii="宋体" w:hAnsi="宋体"/>
            <w:sz w:val="24"/>
          </w:rPr>
          <w:tab/>
          <w:t>2-</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_Toc3276849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0" w:history="1">
        <w:r w:rsidR="003764FD">
          <w:rPr>
            <w:rStyle w:val="af1"/>
            <w:rFonts w:ascii="宋体" w:hAnsi="宋体" w:hint="eastAsia"/>
            <w:sz w:val="24"/>
          </w:rPr>
          <w:t>第三部分</w:t>
        </w:r>
        <w:r w:rsidR="003764FD">
          <w:rPr>
            <w:rFonts w:ascii="宋体" w:hAnsi="宋体"/>
            <w:sz w:val="24"/>
          </w:rPr>
          <w:tab/>
        </w:r>
        <w:r w:rsidR="003764FD">
          <w:rPr>
            <w:rStyle w:val="af1"/>
            <w:rFonts w:ascii="宋体" w:hAnsi="宋体" w:hint="eastAsia"/>
            <w:sz w:val="24"/>
          </w:rPr>
          <w:t>基金托管人对基金管理人的业务监督和核查</w:t>
        </w:r>
        <w:r w:rsidR="003764FD">
          <w:rPr>
            <w:rFonts w:ascii="宋体" w:hAnsi="宋体"/>
            <w:sz w:val="24"/>
          </w:rPr>
          <w:tab/>
          <w:t>3-</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_Toc3276850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sz w:val="24"/>
        </w:rPr>
        <w:t>-11</w:t>
      </w:r>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1" w:history="1">
        <w:r w:rsidR="003764FD">
          <w:rPr>
            <w:rStyle w:val="af1"/>
            <w:rFonts w:ascii="宋体" w:hAnsi="宋体" w:hint="eastAsia"/>
            <w:sz w:val="24"/>
          </w:rPr>
          <w:t>第四部分</w:t>
        </w:r>
        <w:r w:rsidR="003764FD">
          <w:rPr>
            <w:rFonts w:ascii="宋体" w:hAnsi="宋体"/>
            <w:sz w:val="24"/>
          </w:rPr>
          <w:tab/>
        </w:r>
        <w:r w:rsidR="003764FD">
          <w:rPr>
            <w:rStyle w:val="af1"/>
            <w:rFonts w:ascii="宋体" w:hAnsi="宋体" w:hint="eastAsia"/>
            <w:sz w:val="24"/>
          </w:rPr>
          <w:t>基金管理人对基金托管人的业务核查</w:t>
        </w:r>
        <w:r w:rsidR="003764FD">
          <w:rPr>
            <w:rFonts w:ascii="宋体" w:hAnsi="宋体"/>
            <w:sz w:val="24"/>
          </w:rPr>
          <w:tab/>
          <w:t>4-</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_Toc3276851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2" w:history="1">
        <w:r w:rsidR="003764FD">
          <w:rPr>
            <w:rStyle w:val="af1"/>
            <w:rFonts w:ascii="宋体" w:hAnsi="宋体" w:hint="eastAsia"/>
            <w:sz w:val="24"/>
          </w:rPr>
          <w:t>第五部分</w:t>
        </w:r>
        <w:r w:rsidR="003764FD">
          <w:rPr>
            <w:rFonts w:ascii="宋体" w:hAnsi="宋体"/>
            <w:sz w:val="24"/>
          </w:rPr>
          <w:tab/>
        </w:r>
        <w:r w:rsidR="003764FD">
          <w:rPr>
            <w:rStyle w:val="af1"/>
            <w:rFonts w:ascii="宋体" w:hAnsi="宋体" w:hint="eastAsia"/>
            <w:sz w:val="24"/>
          </w:rPr>
          <w:t>基金财产的保管</w:t>
        </w:r>
        <w:r w:rsidR="003764FD">
          <w:rPr>
            <w:rFonts w:ascii="宋体" w:hAnsi="宋体"/>
            <w:sz w:val="24"/>
          </w:rPr>
          <w:tab/>
          <w:t>5-</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_Toc3276852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sz w:val="24"/>
        </w:rPr>
        <w:t>-4</w:t>
      </w:r>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3" w:history="1">
        <w:r w:rsidR="003764FD">
          <w:rPr>
            <w:rStyle w:val="af1"/>
            <w:rFonts w:ascii="宋体" w:hAnsi="宋体" w:hint="eastAsia"/>
            <w:sz w:val="24"/>
          </w:rPr>
          <w:t>第六部分</w:t>
        </w:r>
        <w:r w:rsidR="003764FD">
          <w:rPr>
            <w:rFonts w:ascii="宋体" w:hAnsi="宋体"/>
            <w:sz w:val="24"/>
          </w:rPr>
          <w:tab/>
        </w:r>
        <w:r w:rsidR="003764FD">
          <w:rPr>
            <w:rStyle w:val="af1"/>
            <w:rFonts w:ascii="宋体" w:hAnsi="宋体" w:hint="eastAsia"/>
            <w:sz w:val="24"/>
          </w:rPr>
          <w:t>指令的发送、确认及执行</w:t>
        </w:r>
        <w:r w:rsidR="003764FD">
          <w:rPr>
            <w:rFonts w:ascii="宋体" w:hAnsi="宋体"/>
            <w:sz w:val="24"/>
          </w:rPr>
          <w:tab/>
          <w:t>6-</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_Toc3276853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sz w:val="24"/>
        </w:rPr>
        <w:t>-5</w:t>
      </w:r>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4" w:history="1">
        <w:r w:rsidR="003764FD">
          <w:rPr>
            <w:rStyle w:val="af1"/>
            <w:rFonts w:ascii="宋体" w:hAnsi="宋体" w:hint="eastAsia"/>
            <w:sz w:val="24"/>
          </w:rPr>
          <w:t>第七部分</w:t>
        </w:r>
        <w:r w:rsidR="003764FD">
          <w:rPr>
            <w:rFonts w:ascii="宋体" w:hAnsi="宋体"/>
            <w:sz w:val="24"/>
          </w:rPr>
          <w:tab/>
        </w:r>
        <w:r w:rsidR="003764FD">
          <w:rPr>
            <w:rStyle w:val="af1"/>
            <w:rFonts w:ascii="宋体" w:hAnsi="宋体" w:hint="eastAsia"/>
            <w:sz w:val="24"/>
          </w:rPr>
          <w:t>交易及清算交收安排</w:t>
        </w:r>
        <w:r w:rsidR="003764FD">
          <w:rPr>
            <w:rFonts w:ascii="宋体" w:hAnsi="宋体"/>
            <w:sz w:val="24"/>
          </w:rPr>
          <w:tab/>
          <w:t>7-</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_Toc3276854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sz w:val="24"/>
        </w:rPr>
        <w:t>-4</w:t>
      </w:r>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5" w:history="1">
        <w:r w:rsidR="003764FD">
          <w:rPr>
            <w:rStyle w:val="af1"/>
            <w:rFonts w:ascii="宋体" w:hAnsi="宋体" w:hint="eastAsia"/>
            <w:sz w:val="24"/>
          </w:rPr>
          <w:t>第八部分</w:t>
        </w:r>
        <w:r w:rsidR="003764FD">
          <w:rPr>
            <w:rFonts w:ascii="宋体" w:hAnsi="宋体"/>
            <w:sz w:val="24"/>
          </w:rPr>
          <w:tab/>
        </w:r>
        <w:r w:rsidR="003764FD">
          <w:rPr>
            <w:rStyle w:val="af1"/>
            <w:rFonts w:ascii="宋体" w:hAnsi="宋体" w:hint="eastAsia"/>
            <w:sz w:val="24"/>
          </w:rPr>
          <w:t>基金资产净值计算、估值和会计核算</w:t>
        </w:r>
        <w:r w:rsidR="003764FD">
          <w:rPr>
            <w:rFonts w:ascii="宋体" w:hAnsi="宋体"/>
            <w:sz w:val="24"/>
          </w:rPr>
          <w:tab/>
          <w:t>8-</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_Toc3276855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sz w:val="24"/>
        </w:rPr>
        <w:t>-2</w:t>
      </w:r>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6" w:history="1">
        <w:r w:rsidR="003764FD">
          <w:rPr>
            <w:rStyle w:val="af1"/>
            <w:rFonts w:ascii="宋体" w:hAnsi="宋体" w:hint="eastAsia"/>
            <w:sz w:val="24"/>
          </w:rPr>
          <w:t>第九部分</w:t>
        </w:r>
        <w:r w:rsidR="003764FD">
          <w:rPr>
            <w:rFonts w:ascii="宋体" w:hAnsi="宋体"/>
            <w:sz w:val="24"/>
          </w:rPr>
          <w:tab/>
        </w:r>
        <w:r w:rsidR="003764FD">
          <w:rPr>
            <w:rStyle w:val="af1"/>
            <w:rFonts w:ascii="宋体" w:hAnsi="宋体" w:hint="eastAsia"/>
            <w:sz w:val="24"/>
          </w:rPr>
          <w:t>基金收益分配</w:t>
        </w:r>
        <w:r w:rsidR="003764FD">
          <w:rPr>
            <w:rFonts w:ascii="宋体" w:hAnsi="宋体"/>
            <w:sz w:val="24"/>
          </w:rPr>
          <w:tab/>
          <w:t>9-</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_Toc3276856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500"/>
          <w:tab w:val="right" w:leader="dot" w:pos="8494"/>
        </w:tabs>
        <w:spacing w:line="360" w:lineRule="auto"/>
        <w:rPr>
          <w:rFonts w:ascii="宋体" w:hAnsi="宋体"/>
          <w:sz w:val="24"/>
        </w:rPr>
      </w:pPr>
      <w:hyperlink w:anchor="_Toc3276857" w:history="1">
        <w:r w:rsidR="003764FD">
          <w:rPr>
            <w:rStyle w:val="af1"/>
            <w:rFonts w:ascii="宋体" w:hAnsi="宋体" w:hint="eastAsia"/>
            <w:sz w:val="24"/>
          </w:rPr>
          <w:t>第十部分</w:t>
        </w:r>
        <w:r w:rsidR="003764FD">
          <w:rPr>
            <w:rFonts w:ascii="宋体" w:hAnsi="宋体"/>
            <w:sz w:val="24"/>
          </w:rPr>
          <w:tab/>
        </w:r>
        <w:r w:rsidR="003764FD">
          <w:rPr>
            <w:rStyle w:val="af1"/>
            <w:rFonts w:ascii="宋体" w:hAnsi="宋体" w:hint="eastAsia"/>
            <w:sz w:val="24"/>
          </w:rPr>
          <w:t>基金信息披露</w:t>
        </w:r>
        <w:r w:rsidR="003764FD">
          <w:rPr>
            <w:rFonts w:ascii="宋体" w:hAnsi="宋体"/>
            <w:sz w:val="24"/>
          </w:rPr>
          <w:tab/>
          <w:t>10-</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_Toc3276857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sz w:val="24"/>
        </w:rPr>
        <w:t>-3</w:t>
      </w:r>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58" w:history="1">
        <w:r w:rsidR="003764FD">
          <w:rPr>
            <w:rStyle w:val="af1"/>
            <w:rFonts w:ascii="宋体" w:hAnsi="宋体" w:hint="eastAsia"/>
            <w:sz w:val="24"/>
          </w:rPr>
          <w:t>第十一部分</w:t>
        </w:r>
        <w:r w:rsidR="003764FD">
          <w:rPr>
            <w:rFonts w:ascii="宋体" w:hAnsi="宋体"/>
            <w:sz w:val="24"/>
          </w:rPr>
          <w:tab/>
        </w:r>
        <w:r w:rsidR="003764FD">
          <w:rPr>
            <w:rStyle w:val="af1"/>
            <w:rFonts w:ascii="宋体" w:hAnsi="宋体" w:hint="eastAsia"/>
            <w:sz w:val="24"/>
          </w:rPr>
          <w:t>基金费用</w:t>
        </w:r>
        <w:r w:rsidR="003764FD">
          <w:rPr>
            <w:rFonts w:ascii="宋体" w:hAnsi="宋体"/>
            <w:sz w:val="24"/>
          </w:rPr>
          <w:tab/>
          <w:t>11-</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_Toc3276858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59" w:history="1">
        <w:r w:rsidR="003764FD">
          <w:rPr>
            <w:rStyle w:val="af1"/>
            <w:rFonts w:ascii="宋体" w:hAnsi="宋体" w:hint="eastAsia"/>
            <w:sz w:val="24"/>
          </w:rPr>
          <w:t>第十二部分</w:t>
        </w:r>
        <w:r w:rsidR="003764FD">
          <w:rPr>
            <w:rFonts w:ascii="宋体" w:hAnsi="宋体"/>
            <w:sz w:val="24"/>
          </w:rPr>
          <w:tab/>
        </w:r>
        <w:r w:rsidR="003764FD">
          <w:rPr>
            <w:rStyle w:val="af1"/>
            <w:rFonts w:ascii="宋体" w:hAnsi="宋体" w:hint="eastAsia"/>
            <w:sz w:val="24"/>
          </w:rPr>
          <w:t>基金份额持有人名册的保管</w:t>
        </w:r>
        <w:r w:rsidR="003764FD">
          <w:rPr>
            <w:rFonts w:ascii="宋体" w:hAnsi="宋体"/>
            <w:sz w:val="24"/>
          </w:rPr>
          <w:tab/>
          <w:t>12-</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_Toc3276859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0" w:history="1">
        <w:r w:rsidR="003764FD">
          <w:rPr>
            <w:rStyle w:val="af1"/>
            <w:rFonts w:ascii="宋体" w:hAnsi="宋体" w:hint="eastAsia"/>
            <w:sz w:val="24"/>
          </w:rPr>
          <w:t>第十三部分</w:t>
        </w:r>
        <w:r w:rsidR="003764FD">
          <w:rPr>
            <w:rFonts w:ascii="宋体" w:hAnsi="宋体"/>
            <w:sz w:val="24"/>
          </w:rPr>
          <w:tab/>
        </w:r>
        <w:r w:rsidR="003764FD">
          <w:rPr>
            <w:rStyle w:val="af1"/>
            <w:rFonts w:ascii="宋体" w:hAnsi="宋体" w:hint="eastAsia"/>
            <w:sz w:val="24"/>
          </w:rPr>
          <w:t>基金有关文件档案的保存</w:t>
        </w:r>
        <w:r w:rsidR="003764FD">
          <w:rPr>
            <w:rFonts w:ascii="宋体" w:hAnsi="宋体"/>
            <w:sz w:val="24"/>
          </w:rPr>
          <w:tab/>
          <w:t>13-</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_Toc3276860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1" w:history="1">
        <w:r w:rsidR="003764FD">
          <w:rPr>
            <w:rStyle w:val="af1"/>
            <w:rFonts w:ascii="宋体" w:hAnsi="宋体" w:hint="eastAsia"/>
            <w:sz w:val="24"/>
          </w:rPr>
          <w:t>第十四部分</w:t>
        </w:r>
        <w:r w:rsidR="003764FD">
          <w:rPr>
            <w:rFonts w:ascii="宋体" w:hAnsi="宋体"/>
            <w:sz w:val="24"/>
          </w:rPr>
          <w:tab/>
        </w:r>
        <w:r w:rsidR="003764FD">
          <w:rPr>
            <w:rStyle w:val="af1"/>
            <w:rFonts w:ascii="宋体" w:hAnsi="宋体" w:hint="eastAsia"/>
            <w:sz w:val="24"/>
          </w:rPr>
          <w:t>基金管理人和基金托管人的更换</w:t>
        </w:r>
        <w:r w:rsidR="003764FD">
          <w:rPr>
            <w:rFonts w:ascii="宋体" w:hAnsi="宋体"/>
            <w:sz w:val="24"/>
          </w:rPr>
          <w:tab/>
          <w:t>14-</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_Toc3276861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2" w:history="1">
        <w:r w:rsidR="003764FD">
          <w:rPr>
            <w:rStyle w:val="af1"/>
            <w:rFonts w:ascii="宋体" w:hAnsi="宋体" w:hint="eastAsia"/>
            <w:sz w:val="24"/>
          </w:rPr>
          <w:t>第十五部分</w:t>
        </w:r>
        <w:r w:rsidR="003764FD">
          <w:rPr>
            <w:rFonts w:ascii="宋体" w:hAnsi="宋体"/>
            <w:sz w:val="24"/>
          </w:rPr>
          <w:tab/>
        </w:r>
        <w:r w:rsidR="003764FD">
          <w:rPr>
            <w:rStyle w:val="af1"/>
            <w:rFonts w:ascii="宋体" w:hAnsi="宋体" w:hint="eastAsia"/>
            <w:sz w:val="24"/>
          </w:rPr>
          <w:t>禁止行为</w:t>
        </w:r>
        <w:r w:rsidR="003764FD">
          <w:rPr>
            <w:rFonts w:ascii="宋体" w:hAnsi="宋体"/>
            <w:sz w:val="24"/>
          </w:rPr>
          <w:tab/>
          <w:t>15-</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_Toc3276862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3" w:history="1">
        <w:r w:rsidR="003764FD">
          <w:rPr>
            <w:rStyle w:val="af1"/>
            <w:rFonts w:ascii="宋体" w:hAnsi="宋体" w:hint="eastAsia"/>
            <w:sz w:val="24"/>
          </w:rPr>
          <w:t>第十六部分</w:t>
        </w:r>
        <w:r w:rsidR="003764FD">
          <w:rPr>
            <w:rFonts w:ascii="宋体" w:hAnsi="宋体"/>
            <w:sz w:val="24"/>
          </w:rPr>
          <w:tab/>
        </w:r>
        <w:r w:rsidR="003764FD">
          <w:rPr>
            <w:rStyle w:val="af1"/>
            <w:rFonts w:ascii="宋体" w:hAnsi="宋体" w:hint="eastAsia"/>
            <w:sz w:val="24"/>
          </w:rPr>
          <w:t>托管协议的变更、终止与基金财产的清算</w:t>
        </w:r>
        <w:r w:rsidR="003764FD">
          <w:rPr>
            <w:rFonts w:ascii="宋体" w:hAnsi="宋体"/>
            <w:sz w:val="24"/>
          </w:rPr>
          <w:tab/>
          <w:t>16-</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_Toc3276863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4" w:history="1">
        <w:r w:rsidR="003764FD">
          <w:rPr>
            <w:rStyle w:val="af1"/>
            <w:rFonts w:ascii="宋体" w:hAnsi="宋体" w:hint="eastAsia"/>
            <w:sz w:val="24"/>
          </w:rPr>
          <w:t>第十七部分</w:t>
        </w:r>
        <w:r w:rsidR="003764FD">
          <w:rPr>
            <w:rFonts w:ascii="宋体" w:hAnsi="宋体"/>
            <w:sz w:val="24"/>
          </w:rPr>
          <w:tab/>
        </w:r>
        <w:r w:rsidR="003764FD">
          <w:rPr>
            <w:rStyle w:val="af1"/>
            <w:rFonts w:ascii="宋体" w:hAnsi="宋体" w:hint="eastAsia"/>
            <w:sz w:val="24"/>
          </w:rPr>
          <w:t>违约责任</w:t>
        </w:r>
        <w:r w:rsidR="003764FD">
          <w:rPr>
            <w:rFonts w:ascii="宋体" w:hAnsi="宋体"/>
            <w:sz w:val="24"/>
          </w:rPr>
          <w:tab/>
          <w:t>17-</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_Toc3276864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5" w:history="1">
        <w:r w:rsidR="003764FD">
          <w:rPr>
            <w:rStyle w:val="af1"/>
            <w:rFonts w:ascii="宋体" w:hAnsi="宋体" w:hint="eastAsia"/>
            <w:sz w:val="24"/>
          </w:rPr>
          <w:t>第十八部分</w:t>
        </w:r>
        <w:r w:rsidR="003764FD">
          <w:rPr>
            <w:rFonts w:ascii="宋体" w:hAnsi="宋体"/>
            <w:sz w:val="24"/>
          </w:rPr>
          <w:tab/>
        </w:r>
        <w:r w:rsidR="003764FD">
          <w:rPr>
            <w:rStyle w:val="af1"/>
            <w:rFonts w:ascii="宋体" w:hAnsi="宋体" w:hint="eastAsia"/>
            <w:sz w:val="24"/>
          </w:rPr>
          <w:t>争议解决方式</w:t>
        </w:r>
        <w:r w:rsidR="003764FD">
          <w:rPr>
            <w:rFonts w:ascii="宋体" w:hAnsi="宋体"/>
            <w:sz w:val="24"/>
          </w:rPr>
          <w:tab/>
          <w:t>18-</w:t>
        </w:r>
        <w:r w:rsidR="003764FD">
          <w:rPr>
            <w:rFonts w:ascii="宋体" w:hAnsi="宋体" w:hint="eastAsia"/>
            <w:sz w:val="24"/>
          </w:rPr>
          <w:t>（</w:t>
        </w:r>
      </w:hyperlink>
      <w:r w:rsidR="003764FD">
        <w:rPr>
          <w:rFonts w:ascii="宋体" w:hAnsi="宋体"/>
          <w:sz w:val="24"/>
        </w:rPr>
        <w:t>1</w:t>
      </w:r>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6" w:history="1">
        <w:r w:rsidR="003764FD">
          <w:rPr>
            <w:rStyle w:val="af1"/>
            <w:rFonts w:ascii="宋体" w:hAnsi="宋体" w:hint="eastAsia"/>
            <w:sz w:val="24"/>
          </w:rPr>
          <w:t>第十九部分</w:t>
        </w:r>
        <w:r w:rsidR="003764FD">
          <w:rPr>
            <w:rFonts w:ascii="宋体" w:hAnsi="宋体"/>
            <w:sz w:val="24"/>
          </w:rPr>
          <w:tab/>
        </w:r>
        <w:r w:rsidR="003764FD">
          <w:rPr>
            <w:rStyle w:val="af1"/>
            <w:rFonts w:ascii="宋体" w:hAnsi="宋体" w:hint="eastAsia"/>
            <w:sz w:val="24"/>
          </w:rPr>
          <w:t>托管协议的效力</w:t>
        </w:r>
        <w:r w:rsidR="003764FD">
          <w:rPr>
            <w:rFonts w:ascii="宋体" w:hAnsi="宋体"/>
            <w:sz w:val="24"/>
          </w:rPr>
          <w:tab/>
          <w:t>19-</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_Toc3276866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7" w:history="1">
        <w:r w:rsidR="003764FD">
          <w:rPr>
            <w:rStyle w:val="af1"/>
            <w:rFonts w:ascii="宋体" w:hAnsi="宋体" w:hint="eastAsia"/>
            <w:sz w:val="24"/>
          </w:rPr>
          <w:t>第二十部分</w:t>
        </w:r>
        <w:r w:rsidR="003764FD">
          <w:rPr>
            <w:rFonts w:ascii="宋体" w:hAnsi="宋体"/>
            <w:sz w:val="24"/>
          </w:rPr>
          <w:tab/>
        </w:r>
        <w:r w:rsidR="003764FD">
          <w:rPr>
            <w:rStyle w:val="af1"/>
            <w:rFonts w:ascii="宋体" w:hAnsi="宋体" w:hint="eastAsia"/>
            <w:sz w:val="24"/>
          </w:rPr>
          <w:t>其他事项</w:t>
        </w:r>
        <w:r w:rsidR="003764FD">
          <w:rPr>
            <w:rFonts w:ascii="宋体" w:hAnsi="宋体"/>
            <w:sz w:val="24"/>
          </w:rPr>
          <w:tab/>
          <w:t>20-</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_Toc3276867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B61CC3">
      <w:pPr>
        <w:pStyle w:val="10"/>
        <w:tabs>
          <w:tab w:val="left" w:pos="1475"/>
          <w:tab w:val="right" w:leader="dot" w:pos="8494"/>
        </w:tabs>
        <w:spacing w:line="360" w:lineRule="auto"/>
        <w:rPr>
          <w:rFonts w:ascii="宋体" w:hAnsi="宋体"/>
          <w:sz w:val="24"/>
        </w:rPr>
      </w:pPr>
      <w:hyperlink w:anchor="_Toc3276868" w:history="1">
        <w:r w:rsidR="003764FD">
          <w:rPr>
            <w:rStyle w:val="af1"/>
            <w:rFonts w:ascii="宋体" w:hAnsi="宋体" w:hint="eastAsia"/>
            <w:sz w:val="24"/>
          </w:rPr>
          <w:t>第二十一部分</w:t>
        </w:r>
        <w:r w:rsidR="003764FD">
          <w:rPr>
            <w:rFonts w:ascii="宋体" w:hAnsi="宋体"/>
            <w:sz w:val="24"/>
          </w:rPr>
          <w:tab/>
        </w:r>
        <w:r w:rsidR="003764FD">
          <w:rPr>
            <w:rStyle w:val="af1"/>
            <w:rFonts w:ascii="宋体" w:hAnsi="宋体" w:hint="eastAsia"/>
            <w:sz w:val="24"/>
          </w:rPr>
          <w:t>托管协议的签订</w:t>
        </w:r>
        <w:r w:rsidR="003764FD">
          <w:rPr>
            <w:rFonts w:ascii="宋体" w:hAnsi="宋体"/>
            <w:sz w:val="24"/>
          </w:rPr>
          <w:tab/>
          <w:t>21-</w:t>
        </w:r>
        <w:r w:rsidR="003764FD">
          <w:rPr>
            <w:rFonts w:ascii="宋体" w:hAnsi="宋体" w:hint="eastAsia"/>
            <w:sz w:val="24"/>
          </w:rPr>
          <w:t>（</w:t>
        </w:r>
        <w:r w:rsidR="003764FD">
          <w:rPr>
            <w:rFonts w:ascii="宋体" w:hAnsi="宋体"/>
            <w:sz w:val="24"/>
          </w:rPr>
          <w:fldChar w:fldCharType="begin"/>
        </w:r>
        <w:r w:rsidR="003764FD">
          <w:rPr>
            <w:rFonts w:ascii="宋体" w:hAnsi="宋体"/>
            <w:sz w:val="24"/>
          </w:rPr>
          <w:instrText xml:space="preserve"> PAGEREF _Toc3276868 \h </w:instrText>
        </w:r>
        <w:r w:rsidR="003764FD">
          <w:rPr>
            <w:rFonts w:ascii="宋体" w:hAnsi="宋体"/>
            <w:sz w:val="24"/>
          </w:rPr>
        </w:r>
        <w:r w:rsidR="003764FD">
          <w:rPr>
            <w:rFonts w:ascii="宋体" w:hAnsi="宋体"/>
            <w:sz w:val="24"/>
          </w:rPr>
          <w:fldChar w:fldCharType="separate"/>
        </w:r>
        <w:r w:rsidR="003764FD">
          <w:rPr>
            <w:rFonts w:ascii="宋体" w:hAnsi="宋体"/>
            <w:sz w:val="24"/>
          </w:rPr>
          <w:t>1</w:t>
        </w:r>
        <w:r w:rsidR="003764FD">
          <w:rPr>
            <w:rFonts w:ascii="宋体" w:hAnsi="宋体"/>
            <w:sz w:val="24"/>
          </w:rPr>
          <w:fldChar w:fldCharType="end"/>
        </w:r>
      </w:hyperlink>
      <w:r w:rsidR="003764FD">
        <w:rPr>
          <w:rFonts w:ascii="宋体" w:hAnsi="宋体" w:hint="eastAsia"/>
          <w:sz w:val="24"/>
        </w:rPr>
        <w:t>）</w:t>
      </w:r>
    </w:p>
    <w:p w:rsidR="00EF58AF" w:rsidRDefault="003764FD">
      <w:pPr>
        <w:spacing w:line="360" w:lineRule="auto"/>
        <w:rPr>
          <w:rFonts w:ascii="宋体" w:hAnsi="宋体"/>
          <w:sz w:val="24"/>
        </w:rPr>
      </w:pPr>
      <w:r>
        <w:rPr>
          <w:rFonts w:ascii="宋体" w:hAnsi="宋体"/>
          <w:sz w:val="24"/>
        </w:rPr>
        <w:fldChar w:fldCharType="end"/>
      </w:r>
    </w:p>
    <w:p w:rsidR="00EF58AF" w:rsidRDefault="003764FD">
      <w:pPr>
        <w:spacing w:line="360" w:lineRule="auto"/>
        <w:ind w:firstLineChars="200" w:firstLine="420"/>
        <w:contextualSpacing/>
        <w:rPr>
          <w:rFonts w:ascii="宋体" w:hAnsi="宋体"/>
          <w:kern w:val="0"/>
          <w:sz w:val="24"/>
        </w:rPr>
      </w:pPr>
      <w:r>
        <w:rPr>
          <w:rFonts w:ascii="宋体" w:hAnsi="宋体"/>
        </w:rPr>
        <w:br w:type="page"/>
      </w:r>
      <w:r>
        <w:rPr>
          <w:rFonts w:ascii="宋体" w:hAnsi="宋体" w:hint="eastAsia"/>
          <w:kern w:val="0"/>
          <w:sz w:val="24"/>
        </w:rPr>
        <w:lastRenderedPageBreak/>
        <w:t>鉴于</w:t>
      </w:r>
      <w:r>
        <w:rPr>
          <w:rFonts w:ascii="宋体" w:hAnsi="宋体" w:cs="Arial" w:hint="eastAsia"/>
          <w:sz w:val="24"/>
        </w:rPr>
        <w:t>东方阿尔法基金</w:t>
      </w:r>
      <w:r>
        <w:rPr>
          <w:rFonts w:ascii="宋体" w:hAnsi="宋体" w:hint="eastAsia"/>
          <w:sz w:val="24"/>
        </w:rPr>
        <w:t>管理有限公司</w:t>
      </w:r>
      <w:r>
        <w:rPr>
          <w:rFonts w:ascii="宋体" w:hAnsi="宋体" w:hint="eastAsia"/>
          <w:kern w:val="0"/>
          <w:sz w:val="24"/>
        </w:rPr>
        <w:t>系一家依照中国法律合法成立并有效存续的有限责任公司，按照相关法律法规的规定具备担任基金管理人的资格和能力，拟募集发行</w:t>
      </w:r>
      <w:r>
        <w:rPr>
          <w:rFonts w:ascii="宋体" w:hAnsi="宋体" w:cs="宋体" w:hint="eastAsia"/>
          <w:sz w:val="24"/>
        </w:rPr>
        <w:t>东方</w:t>
      </w:r>
      <w:proofErr w:type="gramStart"/>
      <w:r>
        <w:rPr>
          <w:rFonts w:ascii="宋体" w:hAnsi="宋体" w:cs="宋体" w:hint="eastAsia"/>
          <w:sz w:val="24"/>
        </w:rPr>
        <w:t>阿尔法招阳混合型</w:t>
      </w:r>
      <w:proofErr w:type="gramEnd"/>
      <w:r>
        <w:rPr>
          <w:rFonts w:ascii="宋体" w:hAnsi="宋体" w:cs="宋体" w:hint="eastAsia"/>
          <w:sz w:val="24"/>
        </w:rPr>
        <w:t>证券投资基金</w:t>
      </w:r>
      <w:r>
        <w:rPr>
          <w:rFonts w:ascii="宋体" w:hAnsi="宋体" w:hint="eastAsia"/>
          <w:kern w:val="0"/>
          <w:sz w:val="24"/>
        </w:rPr>
        <w:t>；</w:t>
      </w:r>
    </w:p>
    <w:p w:rsidR="00EF58AF" w:rsidRDefault="003764FD">
      <w:pPr>
        <w:widowControl/>
        <w:spacing w:line="360" w:lineRule="auto"/>
        <w:ind w:firstLineChars="200" w:firstLine="480"/>
        <w:contextualSpacing/>
        <w:rPr>
          <w:rFonts w:ascii="宋体" w:hAnsi="宋体"/>
          <w:kern w:val="0"/>
          <w:sz w:val="24"/>
        </w:rPr>
      </w:pPr>
      <w:r>
        <w:rPr>
          <w:rFonts w:ascii="宋体" w:hAnsi="宋体" w:hint="eastAsia"/>
          <w:kern w:val="0"/>
          <w:sz w:val="24"/>
        </w:rPr>
        <w:t>鉴于招商银行股份有限公司系一家依照中国法律合法成立并有效存续的银行，按照相关法律法规的规定具备担任基金托管人的资格和能力；</w:t>
      </w:r>
    </w:p>
    <w:p w:rsidR="00EF58AF" w:rsidRDefault="003764FD">
      <w:pPr>
        <w:widowControl/>
        <w:spacing w:line="360" w:lineRule="auto"/>
        <w:ind w:firstLineChars="200" w:firstLine="480"/>
        <w:contextualSpacing/>
        <w:rPr>
          <w:rFonts w:ascii="宋体" w:hAnsi="宋体"/>
          <w:kern w:val="0"/>
          <w:sz w:val="24"/>
        </w:rPr>
      </w:pPr>
      <w:r>
        <w:rPr>
          <w:rFonts w:ascii="宋体" w:hAnsi="宋体" w:hint="eastAsia"/>
          <w:kern w:val="0"/>
          <w:sz w:val="24"/>
        </w:rPr>
        <w:t>鉴于</w:t>
      </w:r>
      <w:r>
        <w:rPr>
          <w:rFonts w:ascii="宋体" w:hAnsi="宋体" w:cs="Arial" w:hint="eastAsia"/>
          <w:sz w:val="24"/>
        </w:rPr>
        <w:t>东方阿尔法基金</w:t>
      </w:r>
      <w:r>
        <w:rPr>
          <w:rFonts w:ascii="宋体" w:hAnsi="宋体" w:hint="eastAsia"/>
          <w:sz w:val="24"/>
        </w:rPr>
        <w:t>管理有限公司</w:t>
      </w:r>
      <w:r>
        <w:rPr>
          <w:rFonts w:ascii="宋体" w:hAnsi="宋体" w:hint="eastAsia"/>
          <w:kern w:val="0"/>
          <w:sz w:val="24"/>
        </w:rPr>
        <w:t>拟担任</w:t>
      </w:r>
      <w:r>
        <w:rPr>
          <w:rFonts w:ascii="宋体" w:hAnsi="宋体" w:cs="宋体" w:hint="eastAsia"/>
          <w:sz w:val="24"/>
        </w:rPr>
        <w:t>东方</w:t>
      </w:r>
      <w:proofErr w:type="gramStart"/>
      <w:r>
        <w:rPr>
          <w:rFonts w:ascii="宋体" w:hAnsi="宋体" w:cs="宋体" w:hint="eastAsia"/>
          <w:sz w:val="24"/>
        </w:rPr>
        <w:t>阿尔法招阳混合型</w:t>
      </w:r>
      <w:proofErr w:type="gramEnd"/>
      <w:r>
        <w:rPr>
          <w:rFonts w:ascii="宋体" w:hAnsi="宋体" w:cs="宋体" w:hint="eastAsia"/>
          <w:sz w:val="24"/>
        </w:rPr>
        <w:t>证券投资基金</w:t>
      </w:r>
      <w:r>
        <w:rPr>
          <w:rFonts w:ascii="宋体" w:hAnsi="宋体" w:hint="eastAsia"/>
          <w:kern w:val="0"/>
          <w:sz w:val="24"/>
        </w:rPr>
        <w:t>的基金管理人，招商银行股份有限公司拟担任</w:t>
      </w:r>
      <w:r>
        <w:rPr>
          <w:rFonts w:ascii="宋体" w:hAnsi="宋体" w:cs="宋体" w:hint="eastAsia"/>
          <w:sz w:val="24"/>
        </w:rPr>
        <w:t>东方</w:t>
      </w:r>
      <w:proofErr w:type="gramStart"/>
      <w:r>
        <w:rPr>
          <w:rFonts w:ascii="宋体" w:hAnsi="宋体" w:cs="宋体" w:hint="eastAsia"/>
          <w:sz w:val="24"/>
        </w:rPr>
        <w:t>阿尔法招阳混合型</w:t>
      </w:r>
      <w:proofErr w:type="gramEnd"/>
      <w:r>
        <w:rPr>
          <w:rFonts w:ascii="宋体" w:hAnsi="宋体" w:cs="宋体" w:hint="eastAsia"/>
          <w:sz w:val="24"/>
        </w:rPr>
        <w:t>证券投资基金</w:t>
      </w:r>
      <w:r>
        <w:rPr>
          <w:rFonts w:ascii="宋体" w:hAnsi="宋体" w:hint="eastAsia"/>
          <w:kern w:val="0"/>
          <w:sz w:val="24"/>
        </w:rPr>
        <w:t>的基金托管人；</w:t>
      </w:r>
    </w:p>
    <w:p w:rsidR="00EF58AF" w:rsidRDefault="003764FD">
      <w:pPr>
        <w:widowControl/>
        <w:spacing w:line="360" w:lineRule="auto"/>
        <w:ind w:firstLineChars="200" w:firstLine="480"/>
        <w:contextualSpacing/>
        <w:rPr>
          <w:rFonts w:ascii="宋体" w:hAnsi="宋体"/>
          <w:kern w:val="0"/>
          <w:sz w:val="24"/>
        </w:rPr>
      </w:pPr>
      <w:r>
        <w:rPr>
          <w:rFonts w:ascii="宋体" w:hAnsi="宋体" w:hint="eastAsia"/>
          <w:kern w:val="0"/>
          <w:sz w:val="24"/>
        </w:rPr>
        <w:t>为明确</w:t>
      </w:r>
      <w:r>
        <w:rPr>
          <w:rFonts w:ascii="宋体" w:hAnsi="宋体" w:cs="宋体" w:hint="eastAsia"/>
          <w:sz w:val="24"/>
        </w:rPr>
        <w:t>东方</w:t>
      </w:r>
      <w:proofErr w:type="gramStart"/>
      <w:r>
        <w:rPr>
          <w:rFonts w:ascii="宋体" w:hAnsi="宋体" w:cs="宋体" w:hint="eastAsia"/>
          <w:sz w:val="24"/>
        </w:rPr>
        <w:t>阿尔法招阳混合型</w:t>
      </w:r>
      <w:proofErr w:type="gramEnd"/>
      <w:r>
        <w:rPr>
          <w:rFonts w:ascii="宋体" w:hAnsi="宋体" w:cs="宋体" w:hint="eastAsia"/>
          <w:sz w:val="24"/>
        </w:rPr>
        <w:t>证券投资基金</w:t>
      </w:r>
      <w:r>
        <w:rPr>
          <w:rFonts w:ascii="宋体" w:hAnsi="宋体" w:hint="eastAsia"/>
          <w:kern w:val="0"/>
          <w:sz w:val="24"/>
        </w:rPr>
        <w:t>的基金管理人和基金托管人之间的权利义务关系，特制订本托管协议；</w:t>
      </w:r>
    </w:p>
    <w:p w:rsidR="00EF58AF" w:rsidRDefault="003764FD">
      <w:pPr>
        <w:widowControl/>
        <w:spacing w:line="360" w:lineRule="auto"/>
        <w:ind w:firstLineChars="200" w:firstLine="480"/>
        <w:contextualSpacing/>
        <w:rPr>
          <w:rFonts w:ascii="宋体" w:hAnsi="宋体"/>
          <w:kern w:val="0"/>
          <w:sz w:val="24"/>
          <w:lang w:val="en-GB"/>
        </w:rPr>
      </w:pPr>
      <w:r>
        <w:rPr>
          <w:rFonts w:ascii="宋体" w:hAnsi="宋体" w:hint="eastAsia"/>
          <w:kern w:val="0"/>
          <w:sz w:val="24"/>
          <w:lang w:val="en-GB"/>
        </w:rPr>
        <w:t>除非另有约定，《</w:t>
      </w:r>
      <w:r>
        <w:rPr>
          <w:rFonts w:ascii="宋体" w:hAnsi="宋体" w:cs="宋体" w:hint="eastAsia"/>
          <w:sz w:val="24"/>
        </w:rPr>
        <w:t>东方阿尔法招阳混合型证券投资基金</w:t>
      </w:r>
      <w:r>
        <w:rPr>
          <w:rFonts w:ascii="宋体" w:hAnsi="宋体" w:cs="Arial" w:hint="eastAsia"/>
          <w:kern w:val="0"/>
          <w:sz w:val="24"/>
          <w:lang w:val="en-GB"/>
        </w:rPr>
        <w:t>基金合同》</w:t>
      </w:r>
      <w:r>
        <w:rPr>
          <w:rFonts w:ascii="宋体" w:hAnsi="宋体"/>
          <w:kern w:val="0"/>
          <w:sz w:val="24"/>
          <w:lang w:val="en-GB"/>
        </w:rPr>
        <w:t>(以下简称“基金合同”)中定义的术语在用于本托管协议时应具有相同的含义</w:t>
      </w:r>
      <w:r>
        <w:rPr>
          <w:rFonts w:ascii="宋体" w:hAnsi="宋体" w:hint="eastAsia"/>
          <w:kern w:val="0"/>
          <w:sz w:val="24"/>
          <w:lang w:val="en-GB"/>
        </w:rPr>
        <w:t>，若有抵触应以基金合同为准。</w:t>
      </w:r>
    </w:p>
    <w:p w:rsidR="00EF58AF" w:rsidRDefault="00EF58AF">
      <w:pPr>
        <w:widowControl/>
        <w:spacing w:line="360" w:lineRule="auto"/>
        <w:contextualSpacing/>
        <w:rPr>
          <w:rFonts w:ascii="宋体" w:hAnsi="宋体"/>
          <w:sz w:val="24"/>
          <w:lang w:val="en-GB"/>
        </w:rPr>
      </w:pPr>
    </w:p>
    <w:bookmarkEnd w:id="10"/>
    <w:p w:rsidR="00EF58AF" w:rsidRDefault="00EF58AF">
      <w:pPr>
        <w:widowControl/>
        <w:spacing w:line="360" w:lineRule="auto"/>
        <w:contextualSpacing/>
        <w:rPr>
          <w:rFonts w:ascii="宋体" w:hAnsi="宋体"/>
          <w:sz w:val="24"/>
          <w:lang w:val="en-GB"/>
        </w:rPr>
        <w:sectPr w:rsidR="00EF58AF">
          <w:headerReference w:type="default" r:id="rId52"/>
          <w:footerReference w:type="default" r:id="rId53"/>
          <w:pgSz w:w="11906" w:h="16838"/>
          <w:pgMar w:top="1418" w:right="1701" w:bottom="1418" w:left="1701" w:header="851" w:footer="992" w:gutter="0"/>
          <w:pgNumType w:fmt="upperRoman"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2" w:name="_Toc348082029"/>
      <w:bookmarkStart w:id="13" w:name="_Toc3276848"/>
      <w:bookmarkStart w:id="14" w:name="_Toc384992691"/>
      <w:bookmarkStart w:id="15" w:name="CLAUSE_1527db310d3c4e36ac5a0c8d6a0d9166"/>
      <w:bookmarkStart w:id="16" w:name="_Toc348082031"/>
      <w:r>
        <w:rPr>
          <w:rFonts w:ascii="宋体" w:eastAsia="宋体" w:hAnsi="宋体"/>
        </w:rPr>
        <w:lastRenderedPageBreak/>
        <w:t xml:space="preserve"> </w:t>
      </w:r>
      <w:bookmarkStart w:id="17" w:name="CTS_1527db310d3c4e36ac5a0c8d6a0d9166"/>
      <w:bookmarkEnd w:id="17"/>
      <w:r>
        <w:rPr>
          <w:rFonts w:ascii="宋体" w:eastAsia="宋体" w:hAnsi="宋体" w:hint="eastAsia"/>
        </w:rPr>
        <w:t>基金托管协议当事人</w:t>
      </w:r>
      <w:bookmarkEnd w:id="12"/>
      <w:bookmarkEnd w:id="13"/>
      <w:bookmarkEnd w:id="14"/>
    </w:p>
    <w:p w:rsidR="00EF58AF" w:rsidRDefault="003764FD">
      <w:pPr>
        <w:spacing w:line="360" w:lineRule="auto"/>
        <w:ind w:firstLineChars="200" w:firstLine="482"/>
        <w:contextualSpacing/>
        <w:rPr>
          <w:rFonts w:ascii="宋体" w:hAnsi="宋体"/>
          <w:b/>
          <w:sz w:val="24"/>
        </w:rPr>
      </w:pPr>
      <w:r>
        <w:rPr>
          <w:rFonts w:ascii="宋体" w:hAnsi="宋体" w:hint="eastAsia"/>
          <w:b/>
          <w:sz w:val="24"/>
        </w:rPr>
        <w:t>（一）基金管理人（也可称资产管理人）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名称：东方阿尔法基金管理有限公司</w:t>
      </w:r>
      <w:r>
        <w:rPr>
          <w:rFonts w:ascii="宋体" w:hAnsi="宋体"/>
          <w:sz w:val="24"/>
        </w:rPr>
        <w:t>(简称：</w:t>
      </w:r>
      <w:r>
        <w:rPr>
          <w:rFonts w:ascii="宋体" w:hAnsi="宋体" w:hint="eastAsia"/>
          <w:sz w:val="24"/>
        </w:rPr>
        <w:t>东方阿尔法基金</w:t>
      </w:r>
      <w:r>
        <w:rPr>
          <w:rFonts w:ascii="宋体" w:hAnsi="宋体"/>
          <w:sz w:val="24"/>
        </w:rPr>
        <w:t>)</w:t>
      </w:r>
    </w:p>
    <w:p w:rsidR="00EF58AF" w:rsidRDefault="003764FD">
      <w:pPr>
        <w:spacing w:line="360" w:lineRule="auto"/>
        <w:ind w:firstLineChars="200" w:firstLine="480"/>
        <w:contextualSpacing/>
        <w:rPr>
          <w:rFonts w:ascii="宋体" w:hAnsi="宋体"/>
          <w:sz w:val="24"/>
        </w:rPr>
      </w:pPr>
      <w:r>
        <w:rPr>
          <w:rFonts w:ascii="宋体" w:hAnsi="宋体" w:hint="eastAsia"/>
          <w:sz w:val="24"/>
        </w:rPr>
        <w:t>住所：</w:t>
      </w:r>
      <w:r>
        <w:rPr>
          <w:rFonts w:ascii="宋体" w:hAnsi="宋体" w:cs="宋体" w:hint="eastAsia"/>
          <w:sz w:val="24"/>
        </w:rPr>
        <w:t>深圳市福田区莲花街道紫荆社区深南大道</w:t>
      </w:r>
      <w:r>
        <w:rPr>
          <w:rFonts w:ascii="宋体" w:hAnsi="宋体" w:cs="宋体"/>
          <w:sz w:val="24"/>
        </w:rPr>
        <w:t>6008号深圳特区报业大厦23楼BC</w:t>
      </w:r>
    </w:p>
    <w:p w:rsidR="00EF58AF" w:rsidRDefault="003764FD">
      <w:pPr>
        <w:spacing w:line="360" w:lineRule="auto"/>
        <w:ind w:firstLineChars="200" w:firstLine="480"/>
        <w:contextualSpacing/>
        <w:rPr>
          <w:rFonts w:ascii="宋体" w:hAnsi="宋体"/>
          <w:sz w:val="24"/>
        </w:rPr>
      </w:pPr>
      <w:r>
        <w:rPr>
          <w:rFonts w:ascii="宋体" w:hAnsi="宋体" w:hint="eastAsia"/>
          <w:sz w:val="24"/>
        </w:rPr>
        <w:t>办公地址：</w:t>
      </w:r>
      <w:r>
        <w:rPr>
          <w:rFonts w:ascii="宋体" w:hAnsi="宋体" w:hint="eastAsia"/>
          <w:bCs/>
          <w:color w:val="000000"/>
          <w:sz w:val="24"/>
        </w:rPr>
        <w:t>深圳市福田区莲花街道紫荆社区深南大道</w:t>
      </w:r>
      <w:r>
        <w:rPr>
          <w:rFonts w:ascii="宋体" w:hAnsi="宋体"/>
          <w:bCs/>
          <w:color w:val="000000"/>
          <w:sz w:val="24"/>
        </w:rPr>
        <w:t>6008号深圳特区报业大厦23楼BC</w:t>
      </w:r>
    </w:p>
    <w:p w:rsidR="00EF58AF" w:rsidRDefault="003764FD">
      <w:pPr>
        <w:spacing w:line="360" w:lineRule="auto"/>
        <w:ind w:firstLineChars="200" w:firstLine="480"/>
        <w:contextualSpacing/>
        <w:rPr>
          <w:rFonts w:ascii="宋体" w:hAnsi="宋体"/>
          <w:sz w:val="24"/>
        </w:rPr>
      </w:pPr>
      <w:r>
        <w:rPr>
          <w:rFonts w:ascii="宋体" w:hAnsi="宋体" w:hint="eastAsia"/>
          <w:sz w:val="24"/>
        </w:rPr>
        <w:t>邮政编码：</w:t>
      </w:r>
      <w:r>
        <w:rPr>
          <w:rFonts w:ascii="宋体" w:hAnsi="宋体"/>
          <w:sz w:val="24"/>
        </w:rPr>
        <w:t>518034</w:t>
      </w:r>
    </w:p>
    <w:p w:rsidR="00EF58AF" w:rsidRDefault="003764FD">
      <w:pPr>
        <w:spacing w:line="360" w:lineRule="auto"/>
        <w:ind w:firstLineChars="200" w:firstLine="480"/>
        <w:contextualSpacing/>
        <w:rPr>
          <w:rFonts w:ascii="宋体" w:hAnsi="宋体"/>
          <w:sz w:val="24"/>
        </w:rPr>
      </w:pPr>
      <w:r>
        <w:rPr>
          <w:rFonts w:ascii="宋体" w:hAnsi="宋体" w:hint="eastAsia"/>
          <w:sz w:val="24"/>
        </w:rPr>
        <w:t>法定代表人：</w:t>
      </w:r>
      <w:r>
        <w:rPr>
          <w:rFonts w:ascii="宋体" w:hAnsi="宋体"/>
          <w:sz w:val="24"/>
        </w:rPr>
        <w:t xml:space="preserve"> </w:t>
      </w:r>
      <w:r>
        <w:rPr>
          <w:rFonts w:ascii="宋体" w:hAnsi="宋体" w:hint="eastAsia"/>
          <w:sz w:val="24"/>
        </w:rPr>
        <w:t>刘明</w:t>
      </w:r>
    </w:p>
    <w:p w:rsidR="00EF58AF" w:rsidRDefault="003764FD">
      <w:pPr>
        <w:spacing w:line="360" w:lineRule="auto"/>
        <w:ind w:firstLineChars="200" w:firstLine="480"/>
        <w:contextualSpacing/>
        <w:rPr>
          <w:rFonts w:ascii="宋体" w:hAnsi="宋体"/>
          <w:sz w:val="24"/>
        </w:rPr>
      </w:pPr>
      <w:r>
        <w:rPr>
          <w:rFonts w:ascii="宋体" w:hAnsi="宋体" w:hint="eastAsia"/>
          <w:sz w:val="24"/>
        </w:rPr>
        <w:t>成立时间：</w:t>
      </w:r>
      <w:r>
        <w:rPr>
          <w:rFonts w:ascii="宋体" w:hAnsi="宋体"/>
          <w:sz w:val="24"/>
        </w:rPr>
        <w:t xml:space="preserve"> </w:t>
      </w:r>
      <w:r>
        <w:rPr>
          <w:rFonts w:ascii="宋体" w:hAnsi="宋体"/>
          <w:color w:val="000000"/>
          <w:sz w:val="24"/>
        </w:rPr>
        <w:t>2017年7月4日</w:t>
      </w:r>
    </w:p>
    <w:p w:rsidR="00EF58AF" w:rsidRDefault="003764FD">
      <w:pPr>
        <w:spacing w:line="360" w:lineRule="auto"/>
        <w:ind w:firstLineChars="200" w:firstLine="480"/>
        <w:contextualSpacing/>
        <w:rPr>
          <w:rFonts w:ascii="宋体" w:hAnsi="宋体"/>
          <w:sz w:val="24"/>
        </w:rPr>
      </w:pPr>
      <w:r>
        <w:rPr>
          <w:rFonts w:ascii="宋体" w:hAnsi="宋体" w:hint="eastAsia"/>
          <w:sz w:val="24"/>
        </w:rPr>
        <w:t>批准设立机关：中国证券监督管理委员会</w:t>
      </w:r>
    </w:p>
    <w:p w:rsidR="00EF58AF" w:rsidRDefault="003764FD">
      <w:pPr>
        <w:spacing w:line="360" w:lineRule="auto"/>
        <w:ind w:firstLineChars="200" w:firstLine="480"/>
        <w:contextualSpacing/>
        <w:rPr>
          <w:rFonts w:ascii="宋体" w:hAnsi="宋体"/>
          <w:sz w:val="24"/>
        </w:rPr>
      </w:pPr>
      <w:r>
        <w:rPr>
          <w:rFonts w:ascii="宋体" w:hAnsi="宋体" w:hint="eastAsia"/>
          <w:sz w:val="24"/>
        </w:rPr>
        <w:t>批准设立文号：</w:t>
      </w:r>
      <w:r>
        <w:rPr>
          <w:rFonts w:ascii="宋体" w:hAnsi="宋体"/>
          <w:sz w:val="24"/>
        </w:rPr>
        <w:t xml:space="preserve"> </w:t>
      </w:r>
      <w:r>
        <w:rPr>
          <w:rFonts w:ascii="宋体" w:hAnsi="宋体" w:hint="eastAsia"/>
          <w:bCs/>
          <w:sz w:val="24"/>
        </w:rPr>
        <w:t>证监许可〔</w:t>
      </w:r>
      <w:r>
        <w:rPr>
          <w:rFonts w:ascii="宋体" w:hAnsi="宋体"/>
          <w:bCs/>
          <w:sz w:val="24"/>
        </w:rPr>
        <w:t>2017</w:t>
      </w:r>
      <w:r>
        <w:rPr>
          <w:rFonts w:ascii="宋体" w:hAnsi="宋体" w:hint="eastAsia"/>
          <w:bCs/>
          <w:sz w:val="24"/>
        </w:rPr>
        <w:t>〕</w:t>
      </w:r>
      <w:r>
        <w:rPr>
          <w:rFonts w:ascii="宋体" w:hAnsi="宋体"/>
          <w:bCs/>
          <w:sz w:val="24"/>
        </w:rPr>
        <w:t>1031</w:t>
      </w:r>
      <w:r>
        <w:rPr>
          <w:rFonts w:ascii="宋体" w:hAnsi="宋体" w:hint="eastAsia"/>
          <w:bCs/>
          <w:sz w:val="24"/>
        </w:rPr>
        <w:t>号</w:t>
      </w:r>
    </w:p>
    <w:p w:rsidR="00EF58AF" w:rsidRDefault="003764FD">
      <w:pPr>
        <w:spacing w:line="360" w:lineRule="auto"/>
        <w:ind w:firstLineChars="200" w:firstLine="480"/>
        <w:contextualSpacing/>
        <w:rPr>
          <w:rFonts w:ascii="宋体" w:hAnsi="宋体"/>
          <w:sz w:val="24"/>
        </w:rPr>
      </w:pPr>
      <w:r>
        <w:rPr>
          <w:rFonts w:ascii="宋体" w:hAnsi="宋体" w:hint="eastAsia"/>
          <w:sz w:val="24"/>
        </w:rPr>
        <w:t>组织形式：</w:t>
      </w:r>
      <w:r>
        <w:rPr>
          <w:rFonts w:ascii="宋体" w:hAnsi="宋体"/>
          <w:sz w:val="24"/>
        </w:rPr>
        <w:t xml:space="preserve"> </w:t>
      </w:r>
      <w:r>
        <w:rPr>
          <w:rFonts w:ascii="宋体" w:hAnsi="宋体" w:hint="eastAsia"/>
          <w:sz w:val="24"/>
        </w:rPr>
        <w:t>有限责任公司</w:t>
      </w:r>
    </w:p>
    <w:p w:rsidR="00EF58AF" w:rsidRDefault="003764FD">
      <w:pPr>
        <w:spacing w:line="360" w:lineRule="auto"/>
        <w:ind w:firstLineChars="200" w:firstLine="480"/>
        <w:contextualSpacing/>
        <w:rPr>
          <w:rFonts w:ascii="宋体" w:hAnsi="宋体"/>
          <w:sz w:val="24"/>
        </w:rPr>
      </w:pPr>
      <w:r>
        <w:rPr>
          <w:rFonts w:ascii="宋体" w:hAnsi="宋体" w:hint="eastAsia"/>
          <w:sz w:val="24"/>
        </w:rPr>
        <w:t>注册资本：</w:t>
      </w:r>
      <w:r>
        <w:rPr>
          <w:rFonts w:ascii="宋体" w:hAnsi="宋体"/>
          <w:sz w:val="24"/>
        </w:rPr>
        <w:t xml:space="preserve"> </w:t>
      </w:r>
      <w:r>
        <w:rPr>
          <w:rFonts w:ascii="宋体" w:hAnsi="宋体"/>
          <w:color w:val="000000"/>
          <w:sz w:val="24"/>
        </w:rPr>
        <w:t>1亿元人民币</w:t>
      </w:r>
    </w:p>
    <w:p w:rsidR="00EF58AF" w:rsidRDefault="003764FD">
      <w:pPr>
        <w:spacing w:line="360" w:lineRule="auto"/>
        <w:ind w:firstLineChars="200" w:firstLine="480"/>
        <w:contextualSpacing/>
        <w:rPr>
          <w:rFonts w:ascii="宋体" w:hAnsi="宋体"/>
          <w:sz w:val="24"/>
        </w:rPr>
      </w:pPr>
      <w:r>
        <w:rPr>
          <w:rFonts w:ascii="宋体" w:hAnsi="宋体" w:hint="eastAsia"/>
          <w:sz w:val="24"/>
        </w:rPr>
        <w:t>存续期间：持续经营</w:t>
      </w:r>
    </w:p>
    <w:p w:rsidR="00EF58AF" w:rsidRDefault="003764FD">
      <w:pPr>
        <w:spacing w:line="360" w:lineRule="auto"/>
        <w:ind w:firstLineChars="200" w:firstLine="480"/>
        <w:contextualSpacing/>
        <w:rPr>
          <w:rFonts w:ascii="宋体" w:hAnsi="宋体"/>
          <w:sz w:val="24"/>
        </w:rPr>
      </w:pPr>
      <w:r>
        <w:rPr>
          <w:rFonts w:ascii="宋体" w:hAnsi="宋体" w:hint="eastAsia"/>
          <w:sz w:val="24"/>
        </w:rPr>
        <w:t>经营范围：公开募集证券投资基金管理；基金销售；特定客户资产管理。</w:t>
      </w:r>
    </w:p>
    <w:p w:rsidR="00EF58AF" w:rsidRDefault="00EF58AF">
      <w:pPr>
        <w:spacing w:line="360" w:lineRule="auto"/>
        <w:ind w:firstLineChars="200" w:firstLine="480"/>
        <w:contextualSpacing/>
        <w:rPr>
          <w:rFonts w:ascii="宋体" w:hAnsi="宋体"/>
          <w:sz w:val="24"/>
        </w:rPr>
      </w:pPr>
    </w:p>
    <w:p w:rsidR="00EF58AF" w:rsidRDefault="003764FD">
      <w:pPr>
        <w:spacing w:line="360" w:lineRule="auto"/>
        <w:ind w:firstLineChars="200" w:firstLine="482"/>
        <w:contextualSpacing/>
        <w:rPr>
          <w:rFonts w:ascii="宋体" w:hAnsi="宋体"/>
          <w:b/>
          <w:sz w:val="24"/>
        </w:rPr>
      </w:pPr>
      <w:r>
        <w:rPr>
          <w:rFonts w:ascii="宋体" w:hAnsi="宋体" w:hint="eastAsia"/>
          <w:b/>
          <w:sz w:val="24"/>
        </w:rPr>
        <w:t>（二）基金托管人（也可称资产托管人）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名称：招商银行股份有限公司</w:t>
      </w:r>
      <w:r>
        <w:rPr>
          <w:rFonts w:ascii="宋体" w:hAnsi="宋体"/>
          <w:sz w:val="24"/>
        </w:rPr>
        <w:t>(简称：招商银行)</w:t>
      </w:r>
    </w:p>
    <w:p w:rsidR="00EF58AF" w:rsidRDefault="003764FD">
      <w:pPr>
        <w:spacing w:line="360" w:lineRule="auto"/>
        <w:ind w:firstLineChars="200" w:firstLine="480"/>
        <w:contextualSpacing/>
        <w:rPr>
          <w:rFonts w:ascii="宋体" w:hAnsi="宋体"/>
          <w:sz w:val="24"/>
        </w:rPr>
      </w:pPr>
      <w:r>
        <w:rPr>
          <w:rFonts w:ascii="宋体" w:hAnsi="宋体" w:hint="eastAsia"/>
          <w:sz w:val="24"/>
        </w:rPr>
        <w:t>住所：深圳市</w:t>
      </w:r>
      <w:r>
        <w:rPr>
          <w:rFonts w:ascii="宋体" w:hAnsi="宋体" w:cs="Arial" w:hint="eastAsia"/>
          <w:sz w:val="24"/>
        </w:rPr>
        <w:t>福田区</w:t>
      </w:r>
      <w:r>
        <w:rPr>
          <w:rFonts w:ascii="宋体" w:hAnsi="宋体" w:hint="eastAsia"/>
          <w:sz w:val="24"/>
        </w:rPr>
        <w:t>深南大道</w:t>
      </w:r>
      <w:r>
        <w:rPr>
          <w:rFonts w:ascii="宋体" w:hAnsi="宋体"/>
          <w:sz w:val="24"/>
        </w:rPr>
        <w:t>7088号招商银行大厦</w:t>
      </w:r>
    </w:p>
    <w:p w:rsidR="00EF58AF" w:rsidRDefault="003764FD">
      <w:pPr>
        <w:spacing w:line="360" w:lineRule="auto"/>
        <w:ind w:firstLineChars="200" w:firstLine="480"/>
        <w:contextualSpacing/>
        <w:rPr>
          <w:rFonts w:ascii="宋体" w:hAnsi="宋体"/>
          <w:sz w:val="24"/>
        </w:rPr>
      </w:pPr>
      <w:r>
        <w:rPr>
          <w:rFonts w:ascii="宋体" w:hAnsi="宋体" w:hint="eastAsia"/>
          <w:sz w:val="24"/>
        </w:rPr>
        <w:t>办公地址：深圳市</w:t>
      </w:r>
      <w:r>
        <w:rPr>
          <w:rFonts w:ascii="宋体" w:hAnsi="宋体" w:cs="Arial" w:hint="eastAsia"/>
          <w:sz w:val="24"/>
        </w:rPr>
        <w:t>福田区</w:t>
      </w:r>
      <w:r>
        <w:rPr>
          <w:rFonts w:ascii="宋体" w:hAnsi="宋体" w:hint="eastAsia"/>
          <w:sz w:val="24"/>
        </w:rPr>
        <w:t>深南大道</w:t>
      </w:r>
      <w:r>
        <w:rPr>
          <w:rFonts w:ascii="宋体" w:hAnsi="宋体"/>
          <w:sz w:val="24"/>
        </w:rPr>
        <w:t>7088号招商银行大厦</w:t>
      </w:r>
    </w:p>
    <w:p w:rsidR="00EF58AF" w:rsidRDefault="003764FD">
      <w:pPr>
        <w:spacing w:line="360" w:lineRule="auto"/>
        <w:ind w:firstLineChars="200" w:firstLine="480"/>
        <w:contextualSpacing/>
        <w:rPr>
          <w:rFonts w:ascii="宋体" w:hAnsi="宋体"/>
          <w:sz w:val="24"/>
        </w:rPr>
      </w:pPr>
      <w:r>
        <w:rPr>
          <w:rFonts w:ascii="宋体" w:hAnsi="宋体" w:hint="eastAsia"/>
          <w:sz w:val="24"/>
        </w:rPr>
        <w:t>邮政编码：</w:t>
      </w:r>
      <w:r>
        <w:rPr>
          <w:rFonts w:ascii="宋体" w:hAnsi="宋体"/>
          <w:sz w:val="24"/>
        </w:rPr>
        <w:t>518040</w:t>
      </w:r>
    </w:p>
    <w:p w:rsidR="00EF58AF" w:rsidRDefault="003764FD">
      <w:pPr>
        <w:spacing w:line="360" w:lineRule="auto"/>
        <w:ind w:firstLineChars="200" w:firstLine="480"/>
        <w:contextualSpacing/>
        <w:rPr>
          <w:rFonts w:ascii="宋体" w:hAnsi="宋体"/>
          <w:sz w:val="24"/>
        </w:rPr>
      </w:pPr>
      <w:r>
        <w:rPr>
          <w:rFonts w:ascii="宋体" w:hAnsi="宋体" w:hint="eastAsia"/>
          <w:sz w:val="24"/>
        </w:rPr>
        <w:t>法定代表人：缪建民</w:t>
      </w:r>
    </w:p>
    <w:p w:rsidR="00EF58AF" w:rsidRDefault="003764FD">
      <w:pPr>
        <w:spacing w:line="360" w:lineRule="auto"/>
        <w:ind w:firstLineChars="200" w:firstLine="480"/>
        <w:contextualSpacing/>
        <w:rPr>
          <w:rFonts w:ascii="宋体" w:hAnsi="宋体"/>
          <w:sz w:val="24"/>
        </w:rPr>
      </w:pPr>
      <w:r>
        <w:rPr>
          <w:rFonts w:ascii="宋体" w:hAnsi="宋体" w:hint="eastAsia"/>
          <w:sz w:val="24"/>
        </w:rPr>
        <w:t>成立时间：</w:t>
      </w:r>
      <w:r>
        <w:rPr>
          <w:rFonts w:ascii="宋体" w:hAnsi="宋体"/>
          <w:sz w:val="24"/>
        </w:rPr>
        <w:t>1987年4月8日</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基金托管业务批准文号：证</w:t>
      </w:r>
      <w:proofErr w:type="gramStart"/>
      <w:r>
        <w:rPr>
          <w:rFonts w:ascii="宋体" w:hAnsi="宋体" w:hint="eastAsia"/>
          <w:sz w:val="24"/>
        </w:rPr>
        <w:t>监基金字</w:t>
      </w:r>
      <w:proofErr w:type="gramEnd"/>
      <w:r>
        <w:rPr>
          <w:rFonts w:ascii="宋体" w:hAnsi="宋体"/>
          <w:sz w:val="24"/>
        </w:rPr>
        <w:t>[2002]83号</w:t>
      </w:r>
    </w:p>
    <w:p w:rsidR="00EF58AF" w:rsidRDefault="003764FD">
      <w:pPr>
        <w:spacing w:line="360" w:lineRule="auto"/>
        <w:ind w:firstLineChars="200" w:firstLine="480"/>
        <w:contextualSpacing/>
        <w:rPr>
          <w:rFonts w:ascii="宋体" w:hAnsi="宋体"/>
          <w:sz w:val="24"/>
        </w:rPr>
      </w:pPr>
      <w:r>
        <w:rPr>
          <w:rFonts w:ascii="宋体" w:hAnsi="宋体" w:hint="eastAsia"/>
          <w:sz w:val="24"/>
        </w:rPr>
        <w:t>组织形式：股份有限公司</w:t>
      </w:r>
    </w:p>
    <w:p w:rsidR="00EF58AF" w:rsidRDefault="003764FD">
      <w:pPr>
        <w:spacing w:line="360" w:lineRule="auto"/>
        <w:ind w:firstLineChars="200" w:firstLine="480"/>
        <w:contextualSpacing/>
        <w:rPr>
          <w:rFonts w:ascii="宋体" w:hAnsi="宋体"/>
          <w:sz w:val="24"/>
        </w:rPr>
      </w:pPr>
      <w:r>
        <w:rPr>
          <w:rFonts w:ascii="宋体" w:hAnsi="宋体" w:hint="eastAsia"/>
          <w:sz w:val="24"/>
        </w:rPr>
        <w:t>注册资本：人民币</w:t>
      </w:r>
      <w:r>
        <w:rPr>
          <w:rFonts w:ascii="宋体" w:hAnsi="宋体"/>
          <w:sz w:val="24"/>
        </w:rPr>
        <w:t>252.20亿元</w:t>
      </w:r>
    </w:p>
    <w:p w:rsidR="00EF58AF" w:rsidRDefault="003764FD">
      <w:pPr>
        <w:spacing w:line="360" w:lineRule="auto"/>
        <w:ind w:firstLineChars="200" w:firstLine="480"/>
        <w:contextualSpacing/>
        <w:rPr>
          <w:rFonts w:ascii="宋体" w:hAnsi="宋体"/>
          <w:sz w:val="24"/>
        </w:rPr>
      </w:pPr>
      <w:r>
        <w:rPr>
          <w:rFonts w:ascii="宋体" w:hAnsi="宋体" w:hint="eastAsia"/>
          <w:sz w:val="24"/>
        </w:rPr>
        <w:t>存续期间：持续经营</w:t>
      </w:r>
      <w:r>
        <w:rPr>
          <w:rFonts w:ascii="宋体" w:hAnsi="宋体" w:cs="Arial"/>
          <w:sz w:val="24"/>
        </w:rPr>
        <w:tab/>
      </w:r>
    </w:p>
    <w:bookmarkEnd w:id="15"/>
    <w:p w:rsidR="00EF58AF" w:rsidRDefault="00EF58AF">
      <w:pPr>
        <w:rPr>
          <w:rFonts w:ascii="宋体" w:hAnsi="宋体" w:cs="Arial"/>
          <w:sz w:val="24"/>
        </w:rPr>
        <w:sectPr w:rsidR="00EF58AF">
          <w:footerReference w:type="default" r:id="rId54"/>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8" w:name="_Toc384992692"/>
      <w:bookmarkStart w:id="19" w:name="_Toc3276849"/>
      <w:bookmarkStart w:id="20" w:name="_Toc348082030"/>
      <w:bookmarkStart w:id="21" w:name="CLAUSE_c01a710d4d75417eb23976271466949d"/>
      <w:r>
        <w:rPr>
          <w:rFonts w:ascii="宋体" w:eastAsia="宋体" w:hAnsi="宋体"/>
        </w:rPr>
        <w:lastRenderedPageBreak/>
        <w:t xml:space="preserve"> </w:t>
      </w:r>
      <w:bookmarkStart w:id="22" w:name="CTS_c01a710d4d75417eb23976271466949d"/>
      <w:bookmarkEnd w:id="22"/>
      <w:r>
        <w:rPr>
          <w:rFonts w:ascii="宋体" w:eastAsia="宋体" w:hAnsi="宋体" w:hint="eastAsia"/>
        </w:rPr>
        <w:t>基金托管协议的依据、目的和原则</w:t>
      </w:r>
      <w:bookmarkEnd w:id="18"/>
      <w:bookmarkEnd w:id="19"/>
      <w:bookmarkEnd w:id="20"/>
    </w:p>
    <w:p w:rsidR="00EF58AF" w:rsidRDefault="003764FD">
      <w:pPr>
        <w:spacing w:line="360" w:lineRule="auto"/>
        <w:ind w:firstLineChars="200" w:firstLine="480"/>
        <w:contextualSpacing/>
        <w:rPr>
          <w:rFonts w:ascii="宋体" w:hAnsi="宋体"/>
          <w:sz w:val="24"/>
        </w:rPr>
      </w:pPr>
      <w:r>
        <w:rPr>
          <w:rFonts w:ascii="宋体" w:hAnsi="宋体" w:hint="eastAsia"/>
          <w:sz w:val="24"/>
        </w:rPr>
        <w:t>（一）订立托管协议的依据</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本协议依据《中华人民共和国证券投资基金法》</w:t>
      </w:r>
      <w:r>
        <w:rPr>
          <w:rFonts w:ascii="宋体" w:hAnsi="宋体"/>
          <w:sz w:val="24"/>
        </w:rPr>
        <w:t>(以下简称“《基金法》”)、《公开募集证券投资基金运作管理办法》（以下简称“《运作办法》</w:t>
      </w:r>
      <w:r>
        <w:rPr>
          <w:rFonts w:ascii="宋体" w:hAnsi="宋体" w:hint="eastAsia"/>
          <w:sz w:val="24"/>
        </w:rPr>
        <w:t>”）、《公开募集开放式证券投资基金流动性风险管理规定》</w:t>
      </w:r>
      <w:r>
        <w:rPr>
          <w:rFonts w:ascii="宋体" w:hAnsi="宋体" w:cs="Arial" w:hint="eastAsia"/>
          <w:sz w:val="24"/>
        </w:rPr>
        <w:t>（以下简称“《流动性风险规定》</w:t>
      </w:r>
      <w:r>
        <w:rPr>
          <w:rFonts w:ascii="宋体" w:hAnsi="宋体" w:hint="eastAsia"/>
          <w:sz w:val="24"/>
        </w:rPr>
        <w:t>”）等有关法律法规、基金合同及其他有关规定制订。</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（二）订立托管协议的目的</w:t>
      </w:r>
    </w:p>
    <w:p w:rsidR="00EF58AF" w:rsidRDefault="003764FD">
      <w:pPr>
        <w:spacing w:line="360" w:lineRule="auto"/>
        <w:ind w:firstLineChars="200" w:firstLine="480"/>
        <w:contextualSpacing/>
        <w:rPr>
          <w:rFonts w:ascii="宋体" w:hAnsi="宋体"/>
          <w:sz w:val="24"/>
        </w:rPr>
      </w:pPr>
      <w:r>
        <w:rPr>
          <w:rFonts w:ascii="宋体" w:hAnsi="宋体" w:hint="eastAsia"/>
          <w:sz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（三）订立托管协议的原则</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基金管理人和基金托管人本着平等自愿、诚实信用、充分保护基金份额持有人合法权益的原则，经协商一致，签订本协议。</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（四）解释</w:t>
      </w:r>
    </w:p>
    <w:p w:rsidR="00EF58AF" w:rsidRDefault="003764FD">
      <w:pPr>
        <w:spacing w:line="360" w:lineRule="auto"/>
        <w:ind w:firstLineChars="200" w:firstLine="480"/>
        <w:contextualSpacing/>
        <w:rPr>
          <w:rFonts w:ascii="宋体" w:hAnsi="宋体" w:cs="Arial"/>
          <w:sz w:val="24"/>
        </w:rPr>
      </w:pPr>
      <w:r>
        <w:rPr>
          <w:rFonts w:ascii="宋体" w:hAnsi="宋体" w:cs="Arial" w:hint="eastAsia"/>
          <w:sz w:val="24"/>
        </w:rPr>
        <w:t>除非文义另有所指，本协议的所有术语与《基金合同》的相应术语具有相同含义。</w:t>
      </w: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p w:rsidR="00EF58AF" w:rsidRDefault="00EF58AF">
      <w:pPr>
        <w:spacing w:line="360" w:lineRule="auto"/>
        <w:ind w:firstLineChars="200" w:firstLine="480"/>
        <w:contextualSpacing/>
        <w:rPr>
          <w:rFonts w:ascii="宋体" w:hAnsi="宋体" w:cs="Arial"/>
          <w:sz w:val="24"/>
        </w:rPr>
      </w:pPr>
    </w:p>
    <w:bookmarkEnd w:id="21"/>
    <w:p w:rsidR="00EF58AF" w:rsidRDefault="00EF58AF">
      <w:pPr>
        <w:spacing w:line="360" w:lineRule="auto"/>
        <w:ind w:firstLineChars="200" w:firstLine="480"/>
        <w:contextualSpacing/>
        <w:rPr>
          <w:rFonts w:ascii="宋体" w:hAnsi="宋体" w:cs="Arial"/>
          <w:sz w:val="24"/>
        </w:rPr>
        <w:sectPr w:rsidR="00EF58AF">
          <w:footerReference w:type="default" r:id="rId55"/>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23" w:name="_Toc3276850"/>
      <w:bookmarkStart w:id="24" w:name="_Toc384992693"/>
      <w:bookmarkStart w:id="25" w:name="CLAUSE_f8008f4d8f2d49cd863c646d6a8cc7c2"/>
      <w:r>
        <w:rPr>
          <w:rFonts w:ascii="宋体" w:eastAsia="宋体" w:hAnsi="宋体"/>
        </w:rPr>
        <w:lastRenderedPageBreak/>
        <w:t xml:space="preserve"> </w:t>
      </w:r>
      <w:bookmarkStart w:id="26" w:name="CTS_f8008f4d8f2d49cd863c646d6a8cc7c2"/>
      <w:bookmarkEnd w:id="26"/>
      <w:r>
        <w:rPr>
          <w:rFonts w:ascii="宋体" w:eastAsia="宋体" w:hAnsi="宋体" w:hint="eastAsia"/>
        </w:rPr>
        <w:t>基金托管人对基金管理人的业务监督和核查</w:t>
      </w:r>
      <w:bookmarkEnd w:id="16"/>
      <w:bookmarkEnd w:id="23"/>
      <w:bookmarkEnd w:id="24"/>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（一）基金托管人根据有关法律法规的规定以及《基金合同》的约定，对基金投资范围、投资比例、投资限制、关联方交易等进行监督。《基金合同》明确约定基金投资证券选择标准的，基金管理人应</w:t>
      </w:r>
      <w:proofErr w:type="gramStart"/>
      <w:r>
        <w:rPr>
          <w:rFonts w:ascii="宋体" w:hAnsi="宋体" w:hint="eastAsia"/>
          <w:sz w:val="24"/>
        </w:rPr>
        <w:t>事先或</w:t>
      </w:r>
      <w:proofErr w:type="gramEnd"/>
      <w:r>
        <w:rPr>
          <w:rFonts w:ascii="宋体" w:hAnsi="宋体" w:hint="eastAsia"/>
          <w:sz w:val="24"/>
        </w:rPr>
        <w:t>定期向基金托管人提供投资品种池，以便基金托管人对基金实际投资是否符合基金合同关于证券选择标准的约定进行监督。</w:t>
      </w:r>
    </w:p>
    <w:p w:rsidR="00EF58AF" w:rsidRDefault="003764FD">
      <w:pPr>
        <w:spacing w:line="360" w:lineRule="auto"/>
        <w:ind w:firstLineChars="200" w:firstLine="480"/>
        <w:contextualSpacing/>
        <w:rPr>
          <w:rFonts w:ascii="宋体" w:hAnsi="宋体" w:cs="Arial"/>
          <w:sz w:val="24"/>
        </w:rPr>
      </w:pPr>
      <w:r>
        <w:rPr>
          <w:rFonts w:ascii="宋体" w:hAnsi="宋体"/>
          <w:sz w:val="24"/>
        </w:rPr>
        <w:t>1.</w:t>
      </w:r>
      <w:r>
        <w:rPr>
          <w:rFonts w:ascii="宋体" w:hAnsi="宋体" w:hint="eastAsia"/>
          <w:sz w:val="24"/>
        </w:rPr>
        <w:t xml:space="preserve"> 本基金的投资范围为具有良好流动性的金融工具，包括国内依法发行上市的股票（包括主板、中小板、创业板及其他中国证监会允许基金投资的股票、存托凭证）、港股通标的股票（包括沪港</w:t>
      </w:r>
      <w:proofErr w:type="gramStart"/>
      <w:r>
        <w:rPr>
          <w:rFonts w:ascii="宋体" w:hAnsi="宋体" w:hint="eastAsia"/>
          <w:sz w:val="24"/>
        </w:rPr>
        <w:t>通股票</w:t>
      </w:r>
      <w:proofErr w:type="gramEnd"/>
      <w:r>
        <w:rPr>
          <w:rFonts w:ascii="宋体" w:hAnsi="宋体" w:hint="eastAsia"/>
          <w:sz w:val="24"/>
        </w:rPr>
        <w:t>及深港通股票）、债券（包括国内依法发行和上市交易的国债、金融债、企业债、公司债、公开发行的次级债、地方政府债券、可转换债券、分离交易可转债</w:t>
      </w:r>
      <w:proofErr w:type="gramStart"/>
      <w:r>
        <w:rPr>
          <w:rFonts w:ascii="宋体" w:hAnsi="宋体" w:hint="eastAsia"/>
          <w:sz w:val="24"/>
        </w:rPr>
        <w:t>的纯债部分</w:t>
      </w:r>
      <w:proofErr w:type="gramEnd"/>
      <w:r>
        <w:rPr>
          <w:rFonts w:ascii="宋体" w:hAnsi="宋体" w:hint="eastAsia"/>
          <w:sz w:val="24"/>
        </w:rPr>
        <w:t>、可交换债、央行票据、中期票据、</w:t>
      </w:r>
      <w:r>
        <w:rPr>
          <w:rFonts w:ascii="宋体" w:hAnsi="宋体" w:hint="eastAsia"/>
          <w:bCs/>
          <w:sz w:val="24"/>
        </w:rPr>
        <w:t>短期融资</w:t>
      </w:r>
      <w:proofErr w:type="gramStart"/>
      <w:r>
        <w:rPr>
          <w:rFonts w:ascii="宋体" w:hAnsi="宋体" w:hint="eastAsia"/>
          <w:bCs/>
          <w:sz w:val="24"/>
        </w:rPr>
        <w:t>券</w:t>
      </w:r>
      <w:proofErr w:type="gramEnd"/>
      <w:r>
        <w:rPr>
          <w:rFonts w:ascii="宋体" w:hAnsi="宋体" w:hint="eastAsia"/>
          <w:bCs/>
          <w:sz w:val="24"/>
        </w:rPr>
        <w:t>、超短期融资</w:t>
      </w:r>
      <w:proofErr w:type="gramStart"/>
      <w:r>
        <w:rPr>
          <w:rFonts w:ascii="宋体" w:hAnsi="宋体" w:hint="eastAsia"/>
          <w:bCs/>
          <w:sz w:val="24"/>
        </w:rPr>
        <w:t>券</w:t>
      </w:r>
      <w:proofErr w:type="gramEnd"/>
      <w:r>
        <w:rPr>
          <w:rFonts w:ascii="宋体" w:hAnsi="宋体" w:hint="eastAsia"/>
          <w:sz w:val="24"/>
        </w:rPr>
        <w:t>）、资产支持证券、债券回购、货币市场工具、同业存单、银行存款（包括协议存款、定期存款及其他银行存款）、股指期货、国债期货以及法律法规或中国证监会允许基金投资的其他金融工具（但须符合中国证监会的相关规定）。</w:t>
      </w:r>
      <w:r>
        <w:rPr>
          <w:rFonts w:ascii="宋体" w:hAnsi="宋体" w:cs="Arial" w:hint="eastAsia"/>
          <w:sz w:val="24"/>
        </w:rPr>
        <w:t>本基金将根据法律法规的规定参与融资融券业务中的融资业务。</w:t>
      </w:r>
    </w:p>
    <w:p w:rsidR="00EF58AF" w:rsidRDefault="003764FD">
      <w:pPr>
        <w:spacing w:line="360" w:lineRule="auto"/>
        <w:ind w:firstLineChars="200" w:firstLine="480"/>
        <w:contextualSpacing/>
        <w:rPr>
          <w:rFonts w:ascii="宋体" w:hAnsi="宋体" w:cs="Arial"/>
          <w:sz w:val="24"/>
        </w:rPr>
      </w:pPr>
      <w:r>
        <w:rPr>
          <w:rFonts w:ascii="宋体" w:hAnsi="宋体" w:cs="Arial" w:hint="eastAsia"/>
          <w:sz w:val="24"/>
        </w:rPr>
        <w:t>如法律法规或监管机构以后允许基金投资其他品种，基金管理人在履行适当程序后，可以将其纳入投资范围。</w:t>
      </w:r>
    </w:p>
    <w:p w:rsidR="00EF58AF" w:rsidRDefault="003764FD">
      <w:pPr>
        <w:spacing w:line="360" w:lineRule="auto"/>
        <w:ind w:firstLineChars="200" w:firstLine="480"/>
        <w:contextualSpacing/>
        <w:rPr>
          <w:rFonts w:ascii="宋体" w:hAnsi="宋体"/>
          <w:sz w:val="24"/>
        </w:rPr>
      </w:pPr>
      <w:r>
        <w:rPr>
          <w:rFonts w:ascii="宋体" w:hAnsi="宋体"/>
          <w:sz w:val="24"/>
        </w:rPr>
        <w:t>2.本基金各类品种的投资比例、投资限制为：</w:t>
      </w:r>
      <w:bookmarkStart w:id="27" w:name="_Hlk32665172"/>
    </w:p>
    <w:bookmarkEnd w:id="27"/>
    <w:p w:rsidR="00EF58AF" w:rsidRDefault="003764FD">
      <w:pPr>
        <w:spacing w:line="360" w:lineRule="auto"/>
        <w:ind w:firstLineChars="200" w:firstLine="480"/>
        <w:rPr>
          <w:rFonts w:ascii="宋体" w:hAnsi="宋体"/>
          <w:bCs/>
          <w:sz w:val="24"/>
        </w:rPr>
      </w:pPr>
      <w:r>
        <w:rPr>
          <w:rFonts w:ascii="宋体" w:hAnsi="宋体" w:hint="eastAsia"/>
          <w:bCs/>
          <w:sz w:val="24"/>
        </w:rPr>
        <w:t>（1）本基金投资组合中股票资产投资比例为基金资产的60%-95%；其中对港股通标的股票（包括沪港</w:t>
      </w:r>
      <w:proofErr w:type="gramStart"/>
      <w:r>
        <w:rPr>
          <w:rFonts w:ascii="宋体" w:hAnsi="宋体" w:hint="eastAsia"/>
          <w:bCs/>
          <w:sz w:val="24"/>
        </w:rPr>
        <w:t>通股票</w:t>
      </w:r>
      <w:proofErr w:type="gramEnd"/>
      <w:r>
        <w:rPr>
          <w:rFonts w:ascii="宋体" w:hAnsi="宋体" w:hint="eastAsia"/>
          <w:bCs/>
          <w:sz w:val="24"/>
        </w:rPr>
        <w:t>及深港通股票）的投资比例不超过股票资产的50%；</w:t>
      </w:r>
    </w:p>
    <w:p w:rsidR="00EF58AF" w:rsidRDefault="003764FD">
      <w:pPr>
        <w:spacing w:line="360" w:lineRule="auto"/>
        <w:ind w:firstLineChars="200" w:firstLine="480"/>
        <w:rPr>
          <w:rFonts w:ascii="宋体" w:hAnsi="宋体"/>
          <w:bCs/>
          <w:sz w:val="24"/>
        </w:rPr>
      </w:pPr>
      <w:r>
        <w:rPr>
          <w:rFonts w:ascii="宋体" w:hAnsi="宋体" w:hint="eastAsia"/>
          <w:bCs/>
          <w:sz w:val="24"/>
        </w:rPr>
        <w:t>（2）每个交易日日终在扣除股指期货和国债期货合约需缴纳的交易保证金后，保持不低于基金资产净值5％的现金或者到期日在一年以内的政府债券，其中现金不包括结算备付金、存出保证金、应收申购款等；</w:t>
      </w:r>
    </w:p>
    <w:p w:rsidR="00EF58AF" w:rsidRDefault="003764FD">
      <w:pPr>
        <w:spacing w:line="360" w:lineRule="auto"/>
        <w:ind w:firstLineChars="200" w:firstLine="480"/>
        <w:rPr>
          <w:rFonts w:ascii="宋体" w:hAnsi="宋体"/>
          <w:bCs/>
          <w:sz w:val="24"/>
        </w:rPr>
      </w:pPr>
      <w:r>
        <w:rPr>
          <w:rFonts w:ascii="宋体" w:hAnsi="宋体" w:hint="eastAsia"/>
          <w:bCs/>
          <w:sz w:val="24"/>
        </w:rPr>
        <w:t>（3）本基金持有一家公司发行的证券其市值（若同时持有一家公司发行的A股和H股，则为A股与H股合计市值）不超过基金资产净值的10％；</w:t>
      </w:r>
    </w:p>
    <w:p w:rsidR="00EF58AF" w:rsidRDefault="003764FD">
      <w:pPr>
        <w:spacing w:line="360" w:lineRule="auto"/>
        <w:ind w:firstLineChars="200" w:firstLine="480"/>
        <w:rPr>
          <w:rFonts w:ascii="宋体" w:hAnsi="宋体"/>
          <w:bCs/>
          <w:sz w:val="24"/>
        </w:rPr>
      </w:pPr>
      <w:r>
        <w:rPr>
          <w:rFonts w:ascii="宋体" w:hAnsi="宋体" w:hint="eastAsia"/>
          <w:bCs/>
          <w:sz w:val="24"/>
        </w:rPr>
        <w:t>（</w:t>
      </w:r>
      <w:r>
        <w:rPr>
          <w:rFonts w:ascii="宋体" w:hAnsi="宋体"/>
          <w:bCs/>
          <w:sz w:val="24"/>
        </w:rPr>
        <w:t>4</w:t>
      </w:r>
      <w:r>
        <w:rPr>
          <w:rFonts w:ascii="宋体" w:hAnsi="宋体" w:hint="eastAsia"/>
          <w:bCs/>
          <w:sz w:val="24"/>
        </w:rPr>
        <w:t>）本基金管理人管理的全部基金持有一家公司发行的证券（A股与H股合计），不超过该证券的10％；</w:t>
      </w:r>
    </w:p>
    <w:p w:rsidR="00EF58AF" w:rsidRDefault="003764FD">
      <w:pPr>
        <w:spacing w:line="360" w:lineRule="auto"/>
        <w:ind w:firstLineChars="200" w:firstLine="480"/>
        <w:rPr>
          <w:rFonts w:ascii="宋体" w:hAnsi="宋体"/>
          <w:bCs/>
          <w:sz w:val="24"/>
        </w:rPr>
      </w:pPr>
      <w:r>
        <w:rPr>
          <w:rFonts w:ascii="宋体" w:hAnsi="宋体" w:hint="eastAsia"/>
          <w:bCs/>
          <w:sz w:val="24"/>
        </w:rPr>
        <w:t>（5）本基金投资于同一原始权益人的各类资产支持证券的比例，不得超过基</w:t>
      </w:r>
      <w:r>
        <w:rPr>
          <w:rFonts w:ascii="宋体" w:hAnsi="宋体" w:hint="eastAsia"/>
          <w:bCs/>
          <w:sz w:val="24"/>
        </w:rPr>
        <w:lastRenderedPageBreak/>
        <w:t>金资产净值的10％；</w:t>
      </w:r>
    </w:p>
    <w:p w:rsidR="00EF58AF" w:rsidRDefault="003764FD">
      <w:pPr>
        <w:spacing w:line="360" w:lineRule="auto"/>
        <w:ind w:firstLineChars="200" w:firstLine="480"/>
        <w:rPr>
          <w:rFonts w:ascii="宋体" w:hAnsi="宋体"/>
          <w:bCs/>
          <w:sz w:val="24"/>
        </w:rPr>
      </w:pPr>
      <w:r>
        <w:rPr>
          <w:rFonts w:ascii="宋体" w:hAnsi="宋体" w:hint="eastAsia"/>
          <w:bCs/>
          <w:sz w:val="24"/>
        </w:rPr>
        <w:t>（6）本基金持有的全部资产支持证券，其市值不得超过基金资产净值的20％；</w:t>
      </w:r>
    </w:p>
    <w:p w:rsidR="00EF58AF" w:rsidRDefault="003764FD">
      <w:pPr>
        <w:spacing w:line="360" w:lineRule="auto"/>
        <w:ind w:firstLineChars="200" w:firstLine="480"/>
        <w:rPr>
          <w:rFonts w:ascii="宋体" w:hAnsi="宋体"/>
          <w:bCs/>
          <w:sz w:val="24"/>
        </w:rPr>
      </w:pPr>
      <w:r>
        <w:rPr>
          <w:rFonts w:ascii="宋体" w:hAnsi="宋体" w:hint="eastAsia"/>
          <w:bCs/>
          <w:sz w:val="24"/>
        </w:rPr>
        <w:t>（7）本基金持有的同一(指同一信用级别)资产支持证券的比例，不得超过该资产支持证券规模的10％；</w:t>
      </w:r>
    </w:p>
    <w:p w:rsidR="00EF58AF" w:rsidRDefault="003764FD">
      <w:pPr>
        <w:spacing w:line="360" w:lineRule="auto"/>
        <w:ind w:firstLineChars="200" w:firstLine="480"/>
        <w:rPr>
          <w:rFonts w:ascii="宋体" w:hAnsi="宋体"/>
          <w:bCs/>
          <w:sz w:val="24"/>
        </w:rPr>
      </w:pPr>
      <w:r>
        <w:rPr>
          <w:rFonts w:ascii="宋体" w:hAnsi="宋体" w:hint="eastAsia"/>
          <w:bCs/>
          <w:sz w:val="24"/>
        </w:rPr>
        <w:t>（8）本基金管理人管理的全部基金投资于同一原始权益人的各类资产支持证券，不得超过其各类资产支持证券合计规模的10％；</w:t>
      </w:r>
    </w:p>
    <w:p w:rsidR="00EF58AF" w:rsidRDefault="003764FD">
      <w:pPr>
        <w:spacing w:line="360" w:lineRule="auto"/>
        <w:ind w:firstLineChars="200" w:firstLine="480"/>
        <w:rPr>
          <w:rFonts w:ascii="宋体" w:hAnsi="宋体"/>
          <w:bCs/>
          <w:sz w:val="24"/>
        </w:rPr>
      </w:pPr>
      <w:r>
        <w:rPr>
          <w:rFonts w:ascii="宋体" w:hAnsi="宋体" w:hint="eastAsia"/>
          <w:bCs/>
          <w:sz w:val="24"/>
        </w:rPr>
        <w:t>（9）本基金应投资于信用级别评级为BBB以上(含BBB)的资产支持证券。基金持有资产支持证券期间，如果其信用等级下降、不再符合投资标准，应在评级报告发布之日起3个月内予以全部卖出；</w:t>
      </w:r>
    </w:p>
    <w:p w:rsidR="00EF58AF" w:rsidRDefault="003764FD">
      <w:pPr>
        <w:spacing w:line="360" w:lineRule="auto"/>
        <w:ind w:firstLineChars="200" w:firstLine="480"/>
        <w:rPr>
          <w:rFonts w:ascii="宋体" w:hAnsi="宋体"/>
          <w:bCs/>
          <w:sz w:val="24"/>
        </w:rPr>
      </w:pPr>
      <w:r>
        <w:rPr>
          <w:rFonts w:ascii="宋体" w:hAnsi="宋体" w:hint="eastAsia"/>
          <w:bCs/>
          <w:sz w:val="24"/>
        </w:rPr>
        <w:t>（10）基金财产参与股票发行申购，本基金所申报的金额不超过本基金的总资产，本基金所申报的股票数量不超过拟发行股票公司本次发行股票的总量；</w:t>
      </w:r>
    </w:p>
    <w:p w:rsidR="00EF58AF" w:rsidRDefault="003764FD">
      <w:pPr>
        <w:spacing w:line="360" w:lineRule="auto"/>
        <w:ind w:firstLineChars="200" w:firstLine="480"/>
        <w:rPr>
          <w:rFonts w:ascii="宋体" w:hAnsi="宋体"/>
          <w:bCs/>
          <w:sz w:val="24"/>
        </w:rPr>
      </w:pPr>
      <w:r>
        <w:rPr>
          <w:rFonts w:ascii="宋体" w:hAnsi="宋体" w:hint="eastAsia"/>
          <w:bCs/>
          <w:sz w:val="24"/>
        </w:rPr>
        <w:t>（11）本基金进入全国银行间同业市场进行债券回购的资金余额不得超过基金资产净值的40%，进入全国银行间同业市场进行债券回购的最长期限为1年，债券回购到期后不得展期；</w:t>
      </w:r>
    </w:p>
    <w:p w:rsidR="00EF58AF" w:rsidRDefault="003764FD">
      <w:pPr>
        <w:spacing w:line="360" w:lineRule="auto"/>
        <w:ind w:firstLineChars="200" w:firstLine="480"/>
        <w:rPr>
          <w:rFonts w:ascii="宋体" w:hAnsi="宋体"/>
          <w:bCs/>
          <w:sz w:val="24"/>
        </w:rPr>
      </w:pPr>
      <w:r>
        <w:rPr>
          <w:rFonts w:ascii="宋体" w:hAnsi="宋体" w:hint="eastAsia"/>
          <w:bCs/>
          <w:sz w:val="24"/>
        </w:rPr>
        <w:t>（12）本基金管理人管理的全部开放式基金</w:t>
      </w:r>
      <w:r>
        <w:rPr>
          <w:rFonts w:ascii="宋体" w:hAnsi="宋体"/>
          <w:bCs/>
          <w:sz w:val="24"/>
        </w:rPr>
        <w:t>(包括开放式基金以及处于开放期的定期开放基金)</w:t>
      </w:r>
      <w:r>
        <w:rPr>
          <w:rFonts w:ascii="宋体" w:hAnsi="宋体" w:hint="eastAsia"/>
          <w:bCs/>
          <w:sz w:val="24"/>
        </w:rPr>
        <w:t>持有一家上市公司发行的可流通股票（A股与H</w:t>
      </w:r>
      <w:proofErr w:type="gramStart"/>
      <w:r>
        <w:rPr>
          <w:rFonts w:ascii="宋体" w:hAnsi="宋体" w:hint="eastAsia"/>
          <w:bCs/>
          <w:sz w:val="24"/>
        </w:rPr>
        <w:t>股分</w:t>
      </w:r>
      <w:proofErr w:type="gramEnd"/>
      <w:r>
        <w:rPr>
          <w:rFonts w:ascii="宋体" w:hAnsi="宋体" w:hint="eastAsia"/>
          <w:bCs/>
          <w:sz w:val="24"/>
        </w:rPr>
        <w:t>别计算），不得超过该上市公司可流通股票的15%；本基金管理人管理的全部投资组合持有一家上市公司发行的可流通股票（A股与H</w:t>
      </w:r>
      <w:proofErr w:type="gramStart"/>
      <w:r>
        <w:rPr>
          <w:rFonts w:ascii="宋体" w:hAnsi="宋体" w:hint="eastAsia"/>
          <w:bCs/>
          <w:sz w:val="24"/>
        </w:rPr>
        <w:t>股分</w:t>
      </w:r>
      <w:proofErr w:type="gramEnd"/>
      <w:r>
        <w:rPr>
          <w:rFonts w:ascii="宋体" w:hAnsi="宋体" w:hint="eastAsia"/>
          <w:bCs/>
          <w:sz w:val="24"/>
        </w:rPr>
        <w:t>别计算），不得超过该上市公司可流通股票的30%；</w:t>
      </w:r>
    </w:p>
    <w:p w:rsidR="00EF58AF" w:rsidRDefault="003764FD">
      <w:pPr>
        <w:spacing w:line="360" w:lineRule="auto"/>
        <w:ind w:firstLineChars="200" w:firstLine="480"/>
        <w:rPr>
          <w:rFonts w:ascii="宋体" w:hAnsi="宋体"/>
          <w:bCs/>
          <w:sz w:val="24"/>
        </w:rPr>
      </w:pPr>
      <w:r>
        <w:rPr>
          <w:rFonts w:ascii="宋体" w:hAnsi="宋体" w:hint="eastAsia"/>
          <w:bCs/>
          <w:sz w:val="24"/>
        </w:rPr>
        <w:t>（13）本基金主动投资于流动性受限资产的市值（A股与H</w:t>
      </w:r>
      <w:proofErr w:type="gramStart"/>
      <w:r>
        <w:rPr>
          <w:rFonts w:ascii="宋体" w:hAnsi="宋体" w:hint="eastAsia"/>
          <w:bCs/>
          <w:sz w:val="24"/>
        </w:rPr>
        <w:t>股分</w:t>
      </w:r>
      <w:proofErr w:type="gramEnd"/>
      <w:r>
        <w:rPr>
          <w:rFonts w:ascii="宋体" w:hAnsi="宋体" w:hint="eastAsia"/>
          <w:bCs/>
          <w:sz w:val="24"/>
        </w:rPr>
        <w:t xml:space="preserve">别计算）合计不得超过该基金资产净值的15%；因证券市场波动、上市公司股票停牌、基金规模变动等基金管理人之外的因素致使基金不符合该比例限制的，基金管理人不得主动新增流动性受限资产的投资； </w:t>
      </w:r>
    </w:p>
    <w:p w:rsidR="00EF58AF" w:rsidRDefault="003764FD">
      <w:pPr>
        <w:spacing w:line="360" w:lineRule="auto"/>
        <w:ind w:firstLineChars="200" w:firstLine="480"/>
        <w:rPr>
          <w:rFonts w:ascii="宋体" w:hAnsi="宋体"/>
          <w:sz w:val="24"/>
        </w:rPr>
      </w:pPr>
      <w:r>
        <w:rPr>
          <w:rFonts w:ascii="宋体" w:hAnsi="宋体"/>
          <w:bCs/>
          <w:sz w:val="24"/>
        </w:rPr>
        <w:t>（14）本基金</w:t>
      </w:r>
      <w:r>
        <w:rPr>
          <w:rFonts w:ascii="宋体" w:hAnsi="宋体" w:hint="eastAsia"/>
          <w:sz w:val="24"/>
        </w:rPr>
        <w:t>与私募类</w:t>
      </w:r>
      <w:proofErr w:type="gramStart"/>
      <w:r>
        <w:rPr>
          <w:rFonts w:ascii="宋体" w:hAnsi="宋体" w:hint="eastAsia"/>
          <w:sz w:val="24"/>
        </w:rPr>
        <w:t>证券资管产品</w:t>
      </w:r>
      <w:proofErr w:type="gramEnd"/>
      <w:r>
        <w:rPr>
          <w:rFonts w:ascii="宋体" w:hAnsi="宋体" w:hint="eastAsia"/>
          <w:sz w:val="24"/>
        </w:rPr>
        <w:t>及中国证监会认定的其他主体为交易对手开展逆回购交易的，可接受质押品的资质要求</w:t>
      </w:r>
      <w:r>
        <w:rPr>
          <w:rFonts w:ascii="宋体" w:hAnsi="宋体"/>
          <w:bCs/>
          <w:sz w:val="24"/>
        </w:rPr>
        <w:t>应当</w:t>
      </w:r>
      <w:r>
        <w:rPr>
          <w:rFonts w:ascii="宋体" w:hAnsi="宋体" w:hint="eastAsia"/>
          <w:sz w:val="24"/>
        </w:rPr>
        <w:t>与基金</w:t>
      </w:r>
      <w:r>
        <w:rPr>
          <w:rFonts w:ascii="宋体" w:hAnsi="宋体"/>
          <w:bCs/>
          <w:sz w:val="24"/>
        </w:rPr>
        <w:t>合同约定的</w:t>
      </w:r>
      <w:r>
        <w:rPr>
          <w:rFonts w:ascii="宋体" w:hAnsi="宋体" w:hint="eastAsia"/>
          <w:sz w:val="24"/>
        </w:rPr>
        <w:t>投资范围保持一致；</w:t>
      </w:r>
    </w:p>
    <w:p w:rsidR="00EF58AF" w:rsidRDefault="003764FD">
      <w:pPr>
        <w:spacing w:line="360" w:lineRule="auto"/>
        <w:ind w:firstLineChars="200" w:firstLine="480"/>
        <w:rPr>
          <w:rFonts w:ascii="宋体" w:hAnsi="宋体"/>
          <w:bCs/>
          <w:sz w:val="24"/>
        </w:rPr>
      </w:pPr>
      <w:r>
        <w:rPr>
          <w:rFonts w:ascii="宋体" w:hAnsi="宋体"/>
          <w:bCs/>
          <w:sz w:val="24"/>
        </w:rPr>
        <w:t>（15）本基金资产总值不超过基金资产净值的140%；</w:t>
      </w:r>
    </w:p>
    <w:p w:rsidR="00EF58AF" w:rsidRDefault="003764FD">
      <w:pPr>
        <w:spacing w:line="360" w:lineRule="auto"/>
        <w:ind w:firstLineChars="200" w:firstLine="480"/>
        <w:rPr>
          <w:rFonts w:ascii="宋体" w:hAnsi="宋体"/>
          <w:bCs/>
          <w:kern w:val="0"/>
          <w:sz w:val="24"/>
        </w:rPr>
      </w:pPr>
      <w:r>
        <w:rPr>
          <w:rFonts w:ascii="宋体" w:hAnsi="宋体" w:hint="eastAsia"/>
          <w:bCs/>
          <w:sz w:val="24"/>
        </w:rPr>
        <w:t>（</w:t>
      </w:r>
      <w:r>
        <w:rPr>
          <w:rFonts w:ascii="宋体" w:hAnsi="宋体"/>
          <w:bCs/>
          <w:sz w:val="24"/>
        </w:rPr>
        <w:t>16</w:t>
      </w:r>
      <w:r>
        <w:rPr>
          <w:rFonts w:ascii="宋体" w:hAnsi="宋体" w:hint="eastAsia"/>
          <w:bCs/>
          <w:sz w:val="24"/>
        </w:rPr>
        <w:t>）本基金参与股指期货、国债期货交易，需遵守下列规定：</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本基金在任何交易日日终，持有的买入股指期货合约价值，不得超过基金资产净值的10%；</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lastRenderedPageBreak/>
        <w:t>本基金在任何交易日日终，持有的买入国债期货合约价值，不得超过基金资产净值的15%；</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本基金在任何交易日日终，持有的卖出股指期货合约价值不得超过基金持有的股票总市值的</w:t>
      </w:r>
      <w:r>
        <w:rPr>
          <w:rFonts w:ascii="宋体" w:hAnsi="宋体"/>
          <w:bCs/>
          <w:sz w:val="24"/>
        </w:rPr>
        <w:t>20%</w:t>
      </w:r>
      <w:r>
        <w:rPr>
          <w:rFonts w:ascii="宋体" w:hAnsi="宋体" w:hint="eastAsia"/>
          <w:bCs/>
          <w:sz w:val="24"/>
        </w:rPr>
        <w:t>；</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本基金在任何交易日日终，持有的卖出国债期货合约价值不得超过基金持有的债券总市值的30%；</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本基金在任何交易日内交易（不包括平仓）的股指期货合约的成交金额不得超过上一交易日基金资产净值的</w:t>
      </w:r>
      <w:r>
        <w:rPr>
          <w:rFonts w:ascii="宋体" w:hAnsi="宋体"/>
          <w:bCs/>
          <w:sz w:val="24"/>
        </w:rPr>
        <w:t>20%</w:t>
      </w:r>
      <w:r>
        <w:rPr>
          <w:rFonts w:ascii="宋体" w:hAnsi="宋体" w:hint="eastAsia"/>
          <w:bCs/>
          <w:sz w:val="24"/>
        </w:rPr>
        <w:t>；</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本基金在任何交易日内交易（不包括平仓）的国债期货合约的成交金额不得超过上一交易日基金资产净值的30%；</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本基金所持有的股票市值和买入、卖出股指期货合约价值，合计（轧差计算）应当符合基金合同关于股票投资比例的有关规定；</w:t>
      </w:r>
    </w:p>
    <w:p w:rsidR="00EF58AF" w:rsidRDefault="003764FD">
      <w:pPr>
        <w:numPr>
          <w:ilvl w:val="0"/>
          <w:numId w:val="3"/>
        </w:numPr>
        <w:spacing w:line="360" w:lineRule="auto"/>
        <w:ind w:firstLine="93"/>
        <w:rPr>
          <w:rFonts w:ascii="宋体" w:hAnsi="宋体"/>
          <w:bCs/>
          <w:sz w:val="24"/>
        </w:rPr>
      </w:pPr>
      <w:r>
        <w:rPr>
          <w:rFonts w:ascii="宋体" w:hAnsi="宋体" w:hint="eastAsia"/>
          <w:bCs/>
          <w:sz w:val="24"/>
        </w:rPr>
        <w:t>基金所持有的债券（不含到期日在一年以内的政府债券）市值和买入、卖出国债期货合约价值，合计（轧差计算）应当符合基金合同关于债券投资比例的有关约定；</w:t>
      </w:r>
    </w:p>
    <w:p w:rsidR="00EF58AF" w:rsidRDefault="003764FD">
      <w:pPr>
        <w:spacing w:line="360" w:lineRule="auto"/>
        <w:ind w:firstLineChars="200" w:firstLine="480"/>
        <w:rPr>
          <w:rFonts w:ascii="宋体" w:hAnsi="宋体"/>
          <w:bCs/>
          <w:sz w:val="24"/>
        </w:rPr>
      </w:pPr>
      <w:r>
        <w:rPr>
          <w:rFonts w:ascii="宋体" w:hAnsi="宋体" w:hint="eastAsia"/>
          <w:bCs/>
          <w:sz w:val="24"/>
        </w:rPr>
        <w:t>（17）</w:t>
      </w:r>
      <w:r>
        <w:rPr>
          <w:rFonts w:ascii="宋体" w:hAnsi="宋体"/>
          <w:bCs/>
          <w:sz w:val="24"/>
        </w:rPr>
        <w:t>本基金参与融资的，每个交易日日终，本基金持有的融资买入股票与 其他有价证券市值之和，不得超过基金资产净值的 95%</w:t>
      </w:r>
      <w:r>
        <w:rPr>
          <w:rFonts w:ascii="宋体" w:hAnsi="宋体" w:hint="eastAsia"/>
          <w:bCs/>
          <w:sz w:val="24"/>
        </w:rPr>
        <w:t>；</w:t>
      </w:r>
    </w:p>
    <w:p w:rsidR="00EF58AF" w:rsidRDefault="003764FD">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8</w:t>
      </w:r>
      <w:r>
        <w:rPr>
          <w:rFonts w:ascii="宋体" w:hAnsi="宋体" w:hint="eastAsia"/>
          <w:bCs/>
          <w:sz w:val="24"/>
        </w:rPr>
        <w:t>）本基金投资存托凭证的比例限制依照境内上市交易的股票执行，与境内上市交易的股票合并计算；</w:t>
      </w:r>
    </w:p>
    <w:p w:rsidR="00EF58AF" w:rsidRDefault="003764FD">
      <w:pPr>
        <w:spacing w:line="360" w:lineRule="auto"/>
        <w:ind w:firstLineChars="200" w:firstLine="480"/>
        <w:rPr>
          <w:rFonts w:ascii="宋体" w:hAnsi="宋体"/>
          <w:sz w:val="24"/>
        </w:rPr>
      </w:pPr>
      <w:r>
        <w:rPr>
          <w:rFonts w:ascii="宋体" w:hAnsi="宋体"/>
          <w:bCs/>
          <w:sz w:val="24"/>
        </w:rPr>
        <w:t>（19</w:t>
      </w:r>
      <w:r>
        <w:rPr>
          <w:rFonts w:ascii="宋体" w:hAnsi="宋体" w:hint="eastAsia"/>
          <w:sz w:val="24"/>
        </w:rPr>
        <w:t>）法律法规及中国证监会规定的和《基金合同》约定的其他投资限制。</w:t>
      </w:r>
    </w:p>
    <w:p w:rsidR="00EF58AF" w:rsidRDefault="003764FD">
      <w:pPr>
        <w:spacing w:line="360" w:lineRule="auto"/>
        <w:ind w:firstLineChars="200" w:firstLine="480"/>
        <w:rPr>
          <w:rFonts w:ascii="宋体" w:hAnsi="宋体"/>
          <w:sz w:val="24"/>
          <w:szCs w:val="20"/>
        </w:rPr>
      </w:pPr>
      <w:r>
        <w:rPr>
          <w:rFonts w:ascii="宋体" w:hAnsi="宋体" w:hint="eastAsia"/>
          <w:sz w:val="24"/>
        </w:rPr>
        <w:t>除上述（</w:t>
      </w:r>
      <w:r>
        <w:rPr>
          <w:rFonts w:ascii="宋体" w:hAnsi="宋体"/>
          <w:sz w:val="24"/>
        </w:rPr>
        <w:t>2</w:t>
      </w:r>
      <w:r>
        <w:rPr>
          <w:rFonts w:ascii="宋体" w:hAnsi="宋体" w:hint="eastAsia"/>
          <w:sz w:val="24"/>
        </w:rPr>
        <w:t>）、（</w:t>
      </w:r>
      <w:r>
        <w:rPr>
          <w:rFonts w:ascii="宋体" w:hAnsi="宋体"/>
          <w:bCs/>
          <w:sz w:val="24"/>
        </w:rPr>
        <w:t>9）、（13）、（14）情形之外</w:t>
      </w:r>
      <w:r>
        <w:rPr>
          <w:rFonts w:ascii="宋体" w:hAnsi="宋体" w:hint="eastAsia"/>
          <w:sz w:val="24"/>
        </w:rPr>
        <w:t>，因证券、期货市场波动、证券发行人合并、基金规模变动等基金管理人之外的因素致使基金投资比例不符合上述规定投资比例的，基金管理人应当在</w:t>
      </w:r>
      <w:r>
        <w:rPr>
          <w:rFonts w:ascii="宋体" w:hAnsi="宋体"/>
          <w:sz w:val="24"/>
        </w:rPr>
        <w:t>10</w:t>
      </w:r>
      <w:r>
        <w:rPr>
          <w:rFonts w:ascii="宋体" w:hAnsi="宋体" w:hint="eastAsia"/>
          <w:sz w:val="24"/>
        </w:rPr>
        <w:t>个交易日内进行调整，但中国证监会规定的特殊情形除外。</w:t>
      </w:r>
    </w:p>
    <w:p w:rsidR="00EF58AF" w:rsidRDefault="003764FD">
      <w:pPr>
        <w:spacing w:line="360" w:lineRule="auto"/>
        <w:ind w:firstLineChars="200" w:firstLine="480"/>
        <w:contextualSpacing/>
        <w:rPr>
          <w:rFonts w:ascii="宋体" w:hAnsi="宋体"/>
          <w:sz w:val="24"/>
        </w:rPr>
      </w:pPr>
      <w:r>
        <w:rPr>
          <w:rFonts w:ascii="宋体" w:hAnsi="宋体"/>
          <w:sz w:val="24"/>
        </w:rPr>
        <w:t>3.</w:t>
      </w:r>
      <w:r>
        <w:rPr>
          <w:rFonts w:ascii="宋体" w:hAnsi="宋体" w:hint="eastAsia"/>
          <w:sz w:val="24"/>
        </w:rPr>
        <w:t>本基金财产不得用于以下投资或者活动：</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1）承销证券；</w:t>
      </w:r>
    </w:p>
    <w:p w:rsidR="00EF58AF" w:rsidRDefault="003764FD">
      <w:pPr>
        <w:spacing w:line="360" w:lineRule="auto"/>
        <w:ind w:firstLineChars="200" w:firstLine="480"/>
        <w:contextualSpacing/>
        <w:rPr>
          <w:rFonts w:ascii="宋体" w:hAnsi="宋体"/>
          <w:sz w:val="24"/>
        </w:rPr>
      </w:pPr>
      <w:r>
        <w:rPr>
          <w:rFonts w:ascii="宋体" w:hAnsi="宋体" w:hint="eastAsia"/>
          <w:sz w:val="24"/>
        </w:rPr>
        <w:lastRenderedPageBreak/>
        <w:t>（</w:t>
      </w:r>
      <w:r>
        <w:rPr>
          <w:rFonts w:ascii="宋体" w:hAnsi="宋体"/>
          <w:sz w:val="24"/>
        </w:rPr>
        <w:t>2）违反规定向他人贷款或者提供担保；</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3）从事承担无限责任的投资；</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4）买卖其他基金份额，但是</w:t>
      </w:r>
      <w:r>
        <w:rPr>
          <w:rFonts w:ascii="宋体" w:hAnsi="宋体" w:hint="eastAsia"/>
          <w:sz w:val="24"/>
        </w:rPr>
        <w:t>中国证监会另有规定的除外；</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5）向</w:t>
      </w:r>
      <w:r>
        <w:rPr>
          <w:rFonts w:ascii="宋体" w:hAnsi="宋体" w:hint="eastAsia"/>
          <w:sz w:val="24"/>
        </w:rPr>
        <w:t>其</w:t>
      </w:r>
      <w:r>
        <w:rPr>
          <w:rFonts w:ascii="宋体" w:hAnsi="宋体"/>
          <w:sz w:val="24"/>
        </w:rPr>
        <w:t>基金管理人、基金托管人出资；</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6）从事内幕交易、操纵证券交易价格及其他不正当的证券交易活动；</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7）法律、行政法规或者</w:t>
      </w:r>
      <w:r>
        <w:rPr>
          <w:rFonts w:ascii="宋体" w:hAnsi="宋体" w:hint="eastAsia"/>
          <w:sz w:val="24"/>
        </w:rPr>
        <w:t>中国证监会规定禁止的其他活动。</w:t>
      </w:r>
    </w:p>
    <w:p w:rsidR="00EF58AF" w:rsidRDefault="003764FD">
      <w:pPr>
        <w:spacing w:line="360" w:lineRule="auto"/>
        <w:ind w:firstLineChars="200" w:firstLine="480"/>
        <w:contextualSpacing/>
        <w:rPr>
          <w:rFonts w:ascii="宋体" w:hAnsi="宋体"/>
          <w:sz w:val="24"/>
        </w:rPr>
      </w:pPr>
      <w:r>
        <w:rPr>
          <w:rFonts w:ascii="宋体" w:hAnsi="宋体"/>
          <w:sz w:val="24"/>
        </w:rPr>
        <w:t>4.</w:t>
      </w: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EF58AF" w:rsidRDefault="003764FD">
      <w:pPr>
        <w:spacing w:line="360" w:lineRule="auto"/>
        <w:ind w:firstLineChars="200" w:firstLine="480"/>
        <w:contextualSpacing/>
        <w:rPr>
          <w:rFonts w:ascii="宋体" w:hAnsi="宋体"/>
          <w:sz w:val="24"/>
        </w:rPr>
      </w:pPr>
      <w:r>
        <w:rPr>
          <w:rFonts w:ascii="宋体" w:hAnsi="宋体"/>
          <w:sz w:val="24"/>
        </w:rPr>
        <w:t>5.</w:t>
      </w:r>
      <w:r>
        <w:rPr>
          <w:rFonts w:ascii="宋体" w:hAnsi="宋体" w:hint="eastAsia"/>
          <w:sz w:val="24"/>
        </w:rPr>
        <w:t>基金管理人应当自基金合同生效日起</w:t>
      </w:r>
      <w:r>
        <w:rPr>
          <w:rFonts w:ascii="宋体" w:hAnsi="宋体"/>
          <w:sz w:val="24"/>
        </w:rPr>
        <w:t>6个月内使基金的投资组合比例符合基金合同的有关约定。</w:t>
      </w:r>
      <w:r>
        <w:rPr>
          <w:rFonts w:ascii="宋体" w:hAnsi="宋体" w:hint="eastAsia"/>
          <w:sz w:val="24"/>
        </w:rPr>
        <w:t>在上述期间内，本基金的投资范围、投资策略应当符合基金合同的约定。基金托管人对基金的投资的监督与检查自基金合同生效之日起开始。</w:t>
      </w:r>
    </w:p>
    <w:p w:rsidR="00EF58AF" w:rsidRDefault="003764FD">
      <w:pPr>
        <w:spacing w:line="360" w:lineRule="auto"/>
        <w:ind w:firstLineChars="200" w:firstLine="480"/>
        <w:contextualSpacing/>
        <w:rPr>
          <w:rFonts w:ascii="宋体" w:hAnsi="宋体"/>
          <w:sz w:val="24"/>
        </w:rPr>
      </w:pPr>
      <w:r>
        <w:rPr>
          <w:rFonts w:ascii="宋体" w:hAnsi="宋体"/>
          <w:sz w:val="24"/>
        </w:rPr>
        <w:t>6.如果法律法规及监管政策等对基金合同约定的投资禁止行为和投资组合比例限制进行变更的，本基金可相应调整禁止行为和投资比例限制规定，不需经基金份额持有人大会审议。《基金法》及其他有关法律法规或监管部门</w:t>
      </w:r>
      <w:r>
        <w:rPr>
          <w:rFonts w:ascii="宋体" w:hAnsi="宋体" w:hint="eastAsia"/>
          <w:sz w:val="24"/>
        </w:rPr>
        <w:t>取消</w:t>
      </w:r>
      <w:r>
        <w:rPr>
          <w:rFonts w:ascii="宋体" w:hAnsi="宋体"/>
          <w:sz w:val="24"/>
        </w:rPr>
        <w:t>上述限制</w:t>
      </w:r>
      <w:r>
        <w:rPr>
          <w:rFonts w:ascii="宋体" w:hAnsi="宋体" w:hint="eastAsia"/>
          <w:sz w:val="24"/>
        </w:rPr>
        <w:t>的</w:t>
      </w:r>
      <w:r>
        <w:rPr>
          <w:rFonts w:ascii="宋体" w:hAnsi="宋体"/>
          <w:sz w:val="24"/>
        </w:rPr>
        <w:t>，</w:t>
      </w:r>
      <w:r>
        <w:rPr>
          <w:rFonts w:ascii="宋体" w:hAnsi="宋体" w:hint="eastAsia"/>
          <w:sz w:val="24"/>
        </w:rPr>
        <w:t>履行适当程序后，基金不受上述限制</w:t>
      </w:r>
      <w:r>
        <w:rPr>
          <w:rFonts w:ascii="宋体" w:hAnsi="宋体"/>
          <w:sz w:val="24"/>
        </w:rPr>
        <w:t>。</w:t>
      </w:r>
    </w:p>
    <w:p w:rsidR="00EF58AF" w:rsidRDefault="003764FD">
      <w:pPr>
        <w:spacing w:line="360" w:lineRule="auto"/>
        <w:ind w:firstLineChars="200" w:firstLine="480"/>
        <w:contextualSpacing/>
        <w:rPr>
          <w:rFonts w:ascii="宋体" w:hAnsi="宋体"/>
          <w:sz w:val="24"/>
        </w:rPr>
      </w:pPr>
      <w:r>
        <w:rPr>
          <w:rFonts w:ascii="宋体" w:hAnsi="宋体" w:hint="eastAsia"/>
          <w:sz w:val="24"/>
        </w:rPr>
        <w:t>7、当基金持有特定资产且存在或潜在大额赎回申请时，根据最大限度保护基金份额持有人利益的原则，基金管理人经与基金托管人协商一致，并咨询会计师事务所意见后，可以依照法律法规及基金合同的约定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宋体" w:hAnsi="宋体" w:hint="eastAsia"/>
          <w:sz w:val="24"/>
        </w:rPr>
        <w:t>启用侧袋机制</w:t>
      </w:r>
      <w:proofErr w:type="gramEnd"/>
      <w:r>
        <w:rPr>
          <w:rFonts w:ascii="宋体" w:hAnsi="宋体" w:hint="eastAsia"/>
          <w:sz w:val="24"/>
        </w:rPr>
        <w:t>，无需召开基金份额持有人大会审议。</w:t>
      </w:r>
    </w:p>
    <w:p w:rsidR="00EF58AF" w:rsidRDefault="003764FD">
      <w:pPr>
        <w:spacing w:line="360" w:lineRule="auto"/>
        <w:ind w:firstLineChars="200" w:firstLine="480"/>
        <w:contextualSpacing/>
        <w:rPr>
          <w:rFonts w:ascii="宋体" w:hAnsi="宋体"/>
          <w:sz w:val="24"/>
        </w:rPr>
      </w:pPr>
      <w:proofErr w:type="gramStart"/>
      <w:r>
        <w:rPr>
          <w:rFonts w:ascii="宋体" w:hAnsi="宋体" w:hint="eastAsia"/>
          <w:sz w:val="24"/>
        </w:rPr>
        <w:t>侧袋机制</w:t>
      </w:r>
      <w:proofErr w:type="gramEnd"/>
      <w:r>
        <w:rPr>
          <w:rFonts w:ascii="宋体" w:hAnsi="宋体" w:hint="eastAsia"/>
          <w:sz w:val="24"/>
        </w:rPr>
        <w:t>实施期间，本部分约定的投资组合比例、组合限制等约定仅</w:t>
      </w:r>
      <w:proofErr w:type="gramStart"/>
      <w:r>
        <w:rPr>
          <w:rFonts w:ascii="宋体" w:hAnsi="宋体" w:hint="eastAsia"/>
          <w:sz w:val="24"/>
        </w:rPr>
        <w:t>适用于主袋账户</w:t>
      </w:r>
      <w:proofErr w:type="gramEnd"/>
      <w:r>
        <w:rPr>
          <w:rFonts w:ascii="宋体" w:hAnsi="宋体" w:hint="eastAsia"/>
          <w:sz w:val="24"/>
        </w:rPr>
        <w:t>。</w:t>
      </w:r>
    </w:p>
    <w:p w:rsidR="00EF58AF" w:rsidRDefault="003764FD">
      <w:pPr>
        <w:spacing w:line="360" w:lineRule="auto"/>
        <w:ind w:firstLineChars="200" w:firstLine="480"/>
        <w:contextualSpacing/>
        <w:rPr>
          <w:rFonts w:ascii="宋体" w:hAnsi="宋体"/>
          <w:sz w:val="24"/>
        </w:rPr>
      </w:pPr>
      <w:proofErr w:type="gramStart"/>
      <w:r>
        <w:rPr>
          <w:rFonts w:ascii="宋体" w:hAnsi="宋体" w:hint="eastAsia"/>
          <w:sz w:val="24"/>
        </w:rPr>
        <w:t>侧袋机制</w:t>
      </w:r>
      <w:proofErr w:type="gramEnd"/>
      <w:r>
        <w:rPr>
          <w:rFonts w:ascii="宋体" w:hAnsi="宋体" w:hint="eastAsia"/>
          <w:sz w:val="24"/>
        </w:rPr>
        <w:t>的具体规则依照相关法律法规的规定和基金合同的约定执行。</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w:t>
      </w:r>
      <w:r>
        <w:rPr>
          <w:rFonts w:ascii="宋体" w:hAnsi="宋体" w:hint="eastAsia"/>
          <w:sz w:val="24"/>
        </w:rPr>
        <w:lastRenderedPageBreak/>
        <w:t>供给基金托管人，基金托管人应据以对基金投资银行存款的交易对手是否符合有关规定进行监督。对于不符合规定的银行存款，基金托管人可以拒绝执行，并通知基金管理人。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本基金投资银行存款应符合如下规定：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w:t>
      </w:r>
      <w:r>
        <w:rPr>
          <w:rFonts w:ascii="宋体" w:hAnsi="宋体"/>
          <w:sz w:val="24"/>
        </w:rPr>
        <w:t xml:space="preserve">基金投资于有固定期限银行存款的比例，不得超过基金资产净值的 </w:t>
      </w:r>
      <w:r>
        <w:rPr>
          <w:rFonts w:ascii="宋体" w:hAnsi="宋体" w:hint="eastAsia"/>
          <w:sz w:val="24"/>
        </w:rPr>
        <w:t>30%，但投资于有存款期限，根据协议可提前支取的银行存款</w:t>
      </w:r>
      <w:r>
        <w:rPr>
          <w:rFonts w:ascii="宋体" w:hAnsi="宋体"/>
          <w:sz w:val="24"/>
        </w:rPr>
        <w:t>不受上述比例限制;</w:t>
      </w:r>
      <w:r>
        <w:rPr>
          <w:rFonts w:ascii="宋体" w:hAnsi="宋体" w:hint="eastAsia"/>
          <w:sz w:val="24"/>
        </w:rPr>
        <w:t>本</w:t>
      </w:r>
      <w:r>
        <w:rPr>
          <w:rFonts w:ascii="宋体" w:hAnsi="宋体"/>
          <w:sz w:val="24"/>
        </w:rPr>
        <w:t>基金投资于具有基金托管人资格的同一商业银行的银行存款、同业存单占基金资产净值的比例合计不得超过20%，投资于不具有基金托管人资格的同一商业银行的银行存款、同业存单占基金资产净值的比例合计不得超过</w:t>
      </w:r>
      <w:r>
        <w:rPr>
          <w:rFonts w:ascii="宋体" w:hAnsi="宋体" w:hint="eastAsia"/>
          <w:sz w:val="24"/>
        </w:rPr>
        <w:t>5%。</w:t>
      </w:r>
    </w:p>
    <w:p w:rsidR="00EF58AF" w:rsidRDefault="003764FD">
      <w:pPr>
        <w:spacing w:line="360" w:lineRule="auto"/>
        <w:ind w:firstLineChars="200" w:firstLine="480"/>
        <w:contextualSpacing/>
        <w:rPr>
          <w:rFonts w:ascii="宋体" w:hAnsi="宋体"/>
          <w:sz w:val="24"/>
        </w:rPr>
      </w:pPr>
      <w:r>
        <w:rPr>
          <w:rFonts w:ascii="宋体" w:hAnsi="宋体" w:hint="eastAsia"/>
          <w:sz w:val="24"/>
        </w:rPr>
        <w:t>有关法律法规或监管部门制定或修改新的定期存款投资政策，基金管理人履行适当程序后，可相应调整投资组合限制的规定。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）基金管理人负责控制信用风险。信用风险主要包括存款银行的信用等级、存款银行的支付能力等涉及到存款银行选择方面的风险。因选择存款银行不当造成基金财产损失的，由基金管理人承担责任。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）基金管理人须加强内部风险控制制度的建设。如因基金管理人员工职务行为导致基金财产受到损失的，需由基金管理人承担由此造成的损失。</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）基金管理人与基金托管人在开展基金存款业务时，应严格遵守《基金法》、《运作办法》等有关法律法规，以及国家有关账户管理、利率管理、支付结算等的各项规定。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（三）基金投资银行存款协议的签订、账户开设与管理、投资指令与资金划付、账目核对、到期兑付、提前支取</w:t>
      </w:r>
    </w:p>
    <w:p w:rsidR="00EF58AF" w:rsidRDefault="003764FD">
      <w:pPr>
        <w:spacing w:line="360" w:lineRule="auto"/>
        <w:ind w:firstLineChars="200" w:firstLine="480"/>
        <w:contextualSpacing/>
        <w:rPr>
          <w:rFonts w:ascii="宋体" w:hAnsi="宋体"/>
          <w:sz w:val="24"/>
        </w:rPr>
      </w:pPr>
      <w:r>
        <w:rPr>
          <w:rFonts w:ascii="宋体" w:hAnsi="宋体"/>
          <w:sz w:val="24"/>
        </w:rPr>
        <w:lastRenderedPageBreak/>
        <w:t>1.基金投资银行存款协议的签订</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1）基金管理人应与</w:t>
      </w:r>
      <w:r>
        <w:rPr>
          <w:rFonts w:ascii="宋体" w:hAnsi="宋体" w:hint="eastAsia"/>
          <w:sz w:val="24"/>
        </w:rPr>
        <w:t>符合资格的存款银行总行或其授权分行签订《基金存款业务总体合作协议》（以下简称《总体合作协议》），确定《存款协议书》的格式范本。《总体合作协议》和《存款协议书》的格式范本由基金托管人与基金管理人共同商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2）基金托管人依据相关法规对《总体合作协议》和《存款协议书》的内容进行复核，审查存款银行资格等。</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）基金管理人应在《存款协议书》中明确存款证实书或其他有效存款凭证的办理方式、邮寄地址、联系人和联系电话，以及存款证实书或其他有效凭证在邮寄过程中遗失后，存款余额的确认及兑付办法等。</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）由存款银行指定的存放存款的分支机构（以下简称“存款分支机构</w:t>
      </w:r>
      <w:r>
        <w:rPr>
          <w:rFonts w:ascii="宋体" w:hAnsi="宋体"/>
          <w:sz w:val="24"/>
        </w:rPr>
        <w:t>”</w:t>
      </w:r>
      <w:r>
        <w:rPr>
          <w:rFonts w:ascii="宋体" w:hAnsi="宋体" w:hint="eastAsia"/>
          <w:sz w:val="24"/>
        </w:rPr>
        <w:t>）寄送或上门交付存款证实书或其他有效存款凭证的，基金托管人可向存款分支机构的上级行发出存款余额</w:t>
      </w:r>
      <w:proofErr w:type="gramStart"/>
      <w:r>
        <w:rPr>
          <w:rFonts w:ascii="宋体" w:hAnsi="宋体" w:hint="eastAsia"/>
          <w:sz w:val="24"/>
        </w:rPr>
        <w:t>询</w:t>
      </w:r>
      <w:proofErr w:type="gramEnd"/>
      <w:r>
        <w:rPr>
          <w:rFonts w:ascii="宋体" w:hAnsi="宋体" w:hint="eastAsia"/>
          <w:sz w:val="24"/>
        </w:rPr>
        <w:t>证函，存款分支机构及其上级行应予配合。</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）基金管理人应在《存款协议书》中规定，基金存放到期或提前兑付的资金应全部划转到指定的基金托管账户，并在《存款协议书》写明账户名称和账号，未划入指定账户的，由存款银行承担一切责任。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6）基金管理人应在《存款协议书》中规定，</w:t>
      </w:r>
      <w:r>
        <w:rPr>
          <w:rFonts w:ascii="宋体" w:hAnsi="宋体" w:hint="eastAsia"/>
          <w:sz w:val="24"/>
        </w:rPr>
        <w:t>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）基金管理人应在《存款协议书》中规定，因定期存款产生的存单不得被质押或以任何方式被抵押，不得用于转让和背书。</w:t>
      </w:r>
    </w:p>
    <w:p w:rsidR="00EF58AF" w:rsidRDefault="003764FD">
      <w:pPr>
        <w:spacing w:line="360" w:lineRule="auto"/>
        <w:ind w:firstLineChars="200" w:firstLine="480"/>
        <w:contextualSpacing/>
        <w:rPr>
          <w:rFonts w:ascii="宋体" w:hAnsi="宋体"/>
          <w:sz w:val="24"/>
        </w:rPr>
      </w:pPr>
      <w:r>
        <w:rPr>
          <w:rFonts w:ascii="宋体" w:hAnsi="宋体"/>
          <w:sz w:val="24"/>
        </w:rPr>
        <w:t>2.</w:t>
      </w:r>
      <w:r>
        <w:rPr>
          <w:rFonts w:ascii="宋体" w:hAnsi="宋体" w:hint="eastAsia"/>
          <w:sz w:val="24"/>
        </w:rPr>
        <w:t>基金投资银行存款时的账户开设与管理</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1）基金投资于银行存款时，基金</w:t>
      </w:r>
      <w:r>
        <w:rPr>
          <w:rFonts w:ascii="宋体" w:hAnsi="宋体" w:hint="eastAsia"/>
          <w:sz w:val="24"/>
        </w:rPr>
        <w:t>管理人应当依据基金管理人与存款银行签订的《总体合作协议》、《存款协议书》等，以基金的名义在存款银行总行或授权分行指定的分支机构开立银行账户。</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基金投资于银行存款时的预留印鉴由基金托管人保管和使用。</w:t>
      </w:r>
    </w:p>
    <w:p w:rsidR="00EF58AF" w:rsidRDefault="003764FD">
      <w:pPr>
        <w:spacing w:line="360" w:lineRule="auto"/>
        <w:ind w:firstLineChars="200" w:firstLine="480"/>
        <w:contextualSpacing/>
        <w:rPr>
          <w:rFonts w:ascii="宋体" w:hAnsi="宋体"/>
          <w:sz w:val="24"/>
        </w:rPr>
      </w:pPr>
      <w:r>
        <w:rPr>
          <w:rFonts w:ascii="宋体" w:hAnsi="宋体"/>
          <w:sz w:val="24"/>
        </w:rPr>
        <w:t>3.</w:t>
      </w:r>
      <w:r>
        <w:rPr>
          <w:rFonts w:ascii="宋体" w:hAnsi="宋体" w:hint="eastAsia"/>
          <w:sz w:val="24"/>
        </w:rPr>
        <w:t>存款凭证传递、账目核对及到期兑付</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1）存款证实书等存款凭证</w:t>
      </w:r>
      <w:r>
        <w:rPr>
          <w:rFonts w:ascii="宋体" w:hAnsi="宋体" w:hint="eastAsia"/>
          <w:sz w:val="24"/>
        </w:rPr>
        <w:t>传递</w:t>
      </w:r>
    </w:p>
    <w:p w:rsidR="00EF58AF" w:rsidRDefault="003764FD">
      <w:pPr>
        <w:spacing w:line="360" w:lineRule="auto"/>
        <w:ind w:firstLineChars="200" w:firstLine="480"/>
        <w:contextualSpacing/>
        <w:rPr>
          <w:rFonts w:ascii="宋体" w:hAnsi="宋体"/>
          <w:sz w:val="24"/>
        </w:rPr>
      </w:pPr>
      <w:r>
        <w:rPr>
          <w:rFonts w:ascii="宋体" w:hAnsi="宋体" w:hint="eastAsia"/>
          <w:sz w:val="24"/>
        </w:rPr>
        <w:lastRenderedPageBreak/>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）存款凭证的遗失补办</w:t>
      </w:r>
    </w:p>
    <w:p w:rsidR="00EF58AF" w:rsidRDefault="003764FD">
      <w:pPr>
        <w:spacing w:line="360" w:lineRule="auto"/>
        <w:ind w:firstLineChars="200" w:firstLine="480"/>
        <w:contextualSpacing/>
        <w:rPr>
          <w:rFonts w:ascii="宋体" w:hAnsi="宋体"/>
          <w:sz w:val="24"/>
        </w:rPr>
      </w:pPr>
      <w:r>
        <w:rPr>
          <w:rFonts w:ascii="宋体" w:hAnsi="宋体" w:hint="eastAsia"/>
          <w:sz w:val="24"/>
        </w:rPr>
        <w:t>存款凭证在邮寄过程中遗失的，由基金管理人向存款银行提出补办申请，基金管理人应督促存款银行尽快补办存款凭证，并按以上（</w:t>
      </w:r>
      <w:r>
        <w:rPr>
          <w:rFonts w:ascii="宋体" w:hAnsi="宋体"/>
          <w:sz w:val="24"/>
        </w:rPr>
        <w:t>1</w:t>
      </w:r>
      <w:r>
        <w:rPr>
          <w:rFonts w:ascii="宋体" w:hAnsi="宋体" w:hint="eastAsia"/>
          <w:sz w:val="24"/>
        </w:rPr>
        <w:t>）的方式快递或上门交付至托管人，原存款凭证自动作废。</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）账目核对</w:t>
      </w:r>
    </w:p>
    <w:p w:rsidR="00EF58AF" w:rsidRDefault="003764FD">
      <w:pPr>
        <w:spacing w:line="360" w:lineRule="auto"/>
        <w:ind w:firstLineChars="200" w:firstLine="480"/>
        <w:contextualSpacing/>
        <w:rPr>
          <w:rFonts w:ascii="宋体" w:hAnsi="宋体"/>
          <w:sz w:val="24"/>
        </w:rPr>
      </w:pPr>
      <w:r>
        <w:rPr>
          <w:rFonts w:ascii="宋体" w:hAnsi="宋体" w:hint="eastAsia"/>
          <w:sz w:val="24"/>
        </w:rPr>
        <w:t>每个工作日，基金管理人应与基金托管人核对各项银行存款投资余额及应计利息。</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基金管理人应在《存款协议书》中规定，对于存期超过</w:t>
      </w:r>
      <w:r>
        <w:rPr>
          <w:rFonts w:ascii="宋体" w:hAnsi="宋体"/>
          <w:sz w:val="24"/>
        </w:rPr>
        <w:t>3个月的定期存款，</w:t>
      </w:r>
      <w:r>
        <w:rPr>
          <w:rFonts w:ascii="宋体" w:hAnsi="宋体" w:hint="eastAsia"/>
          <w:sz w:val="24"/>
        </w:rPr>
        <w:t>存款银行应于每季末后</w:t>
      </w:r>
      <w:r>
        <w:rPr>
          <w:rFonts w:ascii="宋体" w:hAnsi="宋体"/>
          <w:sz w:val="24"/>
        </w:rPr>
        <w:t>5个工作日内向</w:t>
      </w:r>
      <w:r>
        <w:rPr>
          <w:rFonts w:ascii="宋体" w:hAnsi="宋体" w:hint="eastAsia"/>
          <w:sz w:val="24"/>
        </w:rPr>
        <w:t>基金托管人指定人员寄送对账单。因存款银行未寄送对账单造成的资金被挪用、盗取的责任由存款银行承担。</w:t>
      </w:r>
    </w:p>
    <w:p w:rsidR="00EF58AF" w:rsidRDefault="003764FD">
      <w:pPr>
        <w:spacing w:line="360" w:lineRule="auto"/>
        <w:ind w:firstLineChars="200" w:firstLine="480"/>
        <w:contextualSpacing/>
        <w:rPr>
          <w:rFonts w:ascii="宋体" w:hAnsi="宋体"/>
          <w:sz w:val="24"/>
        </w:rPr>
      </w:pPr>
      <w:r>
        <w:rPr>
          <w:rFonts w:ascii="宋体" w:hAnsi="宋体" w:hint="eastAsia"/>
          <w:sz w:val="24"/>
        </w:rPr>
        <w:t>存款银行应配合基金托管人对存款凭证的</w:t>
      </w:r>
      <w:proofErr w:type="gramStart"/>
      <w:r>
        <w:rPr>
          <w:rFonts w:ascii="宋体" w:hAnsi="宋体" w:hint="eastAsia"/>
          <w:sz w:val="24"/>
        </w:rPr>
        <w:t>询</w:t>
      </w:r>
      <w:proofErr w:type="gramEnd"/>
      <w:r>
        <w:rPr>
          <w:rFonts w:ascii="宋体" w:hAnsi="宋体" w:hint="eastAsia"/>
          <w:sz w:val="24"/>
        </w:rPr>
        <w:t>证，并在</w:t>
      </w:r>
      <w:proofErr w:type="gramStart"/>
      <w:r>
        <w:rPr>
          <w:rFonts w:ascii="宋体" w:hAnsi="宋体" w:hint="eastAsia"/>
          <w:sz w:val="24"/>
        </w:rPr>
        <w:t>询</w:t>
      </w:r>
      <w:proofErr w:type="gramEnd"/>
      <w:r>
        <w:rPr>
          <w:rFonts w:ascii="宋体" w:hAnsi="宋体" w:hint="eastAsia"/>
          <w:sz w:val="24"/>
        </w:rPr>
        <w:t>证函上加盖存款银行公章寄送至基金托管人指定联系人。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）到期兑付</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基金管理人提前通知基金托管人通过快递将存款凭证原件寄给存款银行分支机构指定的会计主管。存款银行未收到存款凭证原件的，应与基金托管人电话询问。存款到期</w:t>
      </w:r>
      <w:proofErr w:type="gramStart"/>
      <w:r>
        <w:rPr>
          <w:rFonts w:ascii="宋体" w:hAnsi="宋体" w:hint="eastAsia"/>
          <w:sz w:val="24"/>
        </w:rPr>
        <w:t>前基金</w:t>
      </w:r>
      <w:proofErr w:type="gramEnd"/>
      <w:r>
        <w:rPr>
          <w:rFonts w:ascii="宋体" w:hAnsi="宋体" w:hint="eastAsia"/>
          <w:sz w:val="24"/>
        </w:rPr>
        <w:t>管理人与存款银行确认存款凭证收到并于到期日兑付存款本息事宜。</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基金管理人应在《存款协议书》中规定，存款凭证在邮寄过程中遗失的，存款银行应立即通知基金托管人，基金托管人在原存款凭证复印件上加盖公章并出具</w:t>
      </w:r>
      <w:r>
        <w:rPr>
          <w:rFonts w:ascii="宋体" w:hAnsi="宋体" w:hint="eastAsia"/>
          <w:sz w:val="24"/>
        </w:rPr>
        <w:lastRenderedPageBreak/>
        <w:t>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rsidR="00EF58AF" w:rsidRDefault="003764FD">
      <w:pPr>
        <w:spacing w:line="360" w:lineRule="auto"/>
        <w:ind w:firstLineChars="200" w:firstLine="480"/>
        <w:contextualSpacing/>
        <w:rPr>
          <w:rFonts w:ascii="宋体" w:hAnsi="宋体"/>
          <w:sz w:val="24"/>
        </w:rPr>
      </w:pPr>
      <w:r>
        <w:rPr>
          <w:rFonts w:ascii="宋体" w:hAnsi="宋体"/>
          <w:sz w:val="24"/>
        </w:rPr>
        <w:t>4.提前支取</w:t>
      </w:r>
    </w:p>
    <w:p w:rsidR="00EF58AF" w:rsidRDefault="003764FD">
      <w:pPr>
        <w:spacing w:line="360" w:lineRule="auto"/>
        <w:ind w:firstLineChars="200" w:firstLine="480"/>
        <w:contextualSpacing/>
        <w:rPr>
          <w:rFonts w:ascii="宋体" w:hAnsi="宋体"/>
          <w:sz w:val="24"/>
        </w:rPr>
      </w:pPr>
      <w:r>
        <w:rPr>
          <w:rFonts w:ascii="宋体" w:hAnsi="宋体" w:hint="eastAsia"/>
          <w:sz w:val="24"/>
        </w:rPr>
        <w:t>如果在存款期限内，由于基金规模发生缩减的原因或者出于流动性管理的需要等原因，基金管理人可以提前支取全部或部分资金。</w:t>
      </w:r>
    </w:p>
    <w:p w:rsidR="00EF58AF" w:rsidRDefault="003764FD">
      <w:pPr>
        <w:spacing w:line="360" w:lineRule="auto"/>
        <w:ind w:firstLineChars="200" w:firstLine="480"/>
        <w:contextualSpacing/>
        <w:rPr>
          <w:rFonts w:ascii="宋体" w:hAnsi="宋体"/>
          <w:sz w:val="24"/>
        </w:rPr>
      </w:pPr>
      <w:r>
        <w:rPr>
          <w:rFonts w:ascii="宋体" w:hAnsi="宋体" w:hint="eastAsia"/>
          <w:sz w:val="24"/>
        </w:rPr>
        <w:t>提前支取的具体事项按照基金管理人与存款银行签订的《存款协议书》执行。</w:t>
      </w:r>
    </w:p>
    <w:p w:rsidR="00EF58AF" w:rsidRDefault="003764FD">
      <w:pPr>
        <w:spacing w:line="360" w:lineRule="auto"/>
        <w:ind w:firstLineChars="200" w:firstLine="480"/>
        <w:contextualSpacing/>
        <w:rPr>
          <w:rFonts w:ascii="宋体" w:hAnsi="宋体"/>
          <w:sz w:val="24"/>
        </w:rPr>
      </w:pPr>
      <w:r>
        <w:rPr>
          <w:rFonts w:ascii="宋体" w:hAnsi="宋体"/>
          <w:sz w:val="24"/>
        </w:rPr>
        <w:t>5.</w:t>
      </w:r>
      <w:r>
        <w:rPr>
          <w:rFonts w:ascii="宋体" w:hAnsi="宋体" w:hint="eastAsia"/>
          <w:sz w:val="24"/>
        </w:rPr>
        <w:t>基金投资银行存款的监督</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基金托管人发现基金管理人在进行存款投资时有违反有关法律法规的规定及《基金合同》的约定的行为，应及时以书面形式通知基金管理人在</w:t>
      </w:r>
      <w:r>
        <w:rPr>
          <w:rFonts w:ascii="宋体" w:hAnsi="宋体"/>
          <w:sz w:val="24"/>
        </w:rPr>
        <w:t xml:space="preserve">10 </w:t>
      </w:r>
      <w:proofErr w:type="gramStart"/>
      <w:r>
        <w:rPr>
          <w:rFonts w:ascii="宋体" w:hAnsi="宋体" w:hint="eastAsia"/>
          <w:sz w:val="24"/>
        </w:rPr>
        <w:t>个</w:t>
      </w:r>
      <w:proofErr w:type="gramEnd"/>
      <w:r>
        <w:rPr>
          <w:rFonts w:ascii="宋体" w:hAnsi="宋体" w:hint="eastAsia"/>
          <w:sz w:val="24"/>
        </w:rPr>
        <w:t>工作日内纠正。基金管理人对基金托管人通知的违规事项未能在</w:t>
      </w:r>
      <w:r>
        <w:rPr>
          <w:rFonts w:ascii="宋体" w:hAnsi="宋体"/>
          <w:sz w:val="24"/>
        </w:rPr>
        <w:t xml:space="preserve">10 </w:t>
      </w:r>
      <w:proofErr w:type="gramStart"/>
      <w:r>
        <w:rPr>
          <w:rFonts w:ascii="宋体" w:hAnsi="宋体" w:hint="eastAsia"/>
          <w:sz w:val="24"/>
        </w:rPr>
        <w:t>个</w:t>
      </w:r>
      <w:proofErr w:type="gramEnd"/>
      <w:r>
        <w:rPr>
          <w:rFonts w:ascii="宋体" w:hAnsi="宋体" w:hint="eastAsia"/>
          <w:sz w:val="24"/>
        </w:rPr>
        <w:t>工作日内纠正的，基金托管人应报告中国证监会。基金托管人发现基金管理人有重大违规行为，应立即报告中国证监会，同时通知基金管理人在</w:t>
      </w:r>
      <w:r>
        <w:rPr>
          <w:rFonts w:ascii="宋体" w:hAnsi="宋体"/>
          <w:sz w:val="24"/>
        </w:rPr>
        <w:t xml:space="preserve">10 </w:t>
      </w:r>
      <w:proofErr w:type="gramStart"/>
      <w:r>
        <w:rPr>
          <w:rFonts w:ascii="宋体" w:hAnsi="宋体" w:hint="eastAsia"/>
          <w:sz w:val="24"/>
        </w:rPr>
        <w:t>个</w:t>
      </w:r>
      <w:proofErr w:type="gramEnd"/>
      <w:r>
        <w:rPr>
          <w:rFonts w:ascii="宋体" w:hAnsi="宋体" w:hint="eastAsia"/>
          <w:sz w:val="24"/>
        </w:rPr>
        <w:t>工作日内纠正或拒绝结算，若因基金管理人拒不执行造成基金财产损失的，相关损失由基金管理人承担，基金托管人不承担任何责任。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w:t>
      </w:r>
      <w:r>
        <w:rPr>
          <w:rFonts w:ascii="宋体" w:hAnsi="宋体"/>
          <w:sz w:val="24"/>
        </w:rPr>
        <w:t>3个交易</w:t>
      </w:r>
      <w:proofErr w:type="gramStart"/>
      <w:r>
        <w:rPr>
          <w:rFonts w:ascii="宋体" w:hAnsi="宋体"/>
          <w:sz w:val="24"/>
        </w:rPr>
        <w:t>日内与</w:t>
      </w:r>
      <w:proofErr w:type="gramEnd"/>
      <w:r>
        <w:rPr>
          <w:rFonts w:ascii="宋体" w:hAnsi="宋体"/>
          <w:sz w:val="24"/>
        </w:rPr>
        <w:t>基金托管人协商解决。</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基金管理人负责对交易对手的资信控制，按银行间债券市场的交易规则进行</w:t>
      </w:r>
      <w:r>
        <w:rPr>
          <w:rFonts w:ascii="宋体" w:hAnsi="宋体" w:hint="eastAsia"/>
          <w:sz w:val="24"/>
        </w:rPr>
        <w:lastRenderedPageBreak/>
        <w:t>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（五）本基金投资流通受限证券，应遵守《关于基金投资非公开发行股票等流通受限证券有关问题的通知》等有关监管规定。</w:t>
      </w:r>
    </w:p>
    <w:p w:rsidR="00EF58AF" w:rsidRDefault="003764FD">
      <w:pPr>
        <w:spacing w:line="360" w:lineRule="auto"/>
        <w:ind w:firstLineChars="200" w:firstLine="480"/>
        <w:contextualSpacing/>
        <w:rPr>
          <w:rFonts w:ascii="宋体" w:hAnsi="宋体"/>
          <w:sz w:val="24"/>
        </w:rPr>
      </w:pPr>
      <w:r>
        <w:rPr>
          <w:rFonts w:ascii="宋体" w:hAnsi="宋体"/>
          <w:sz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sz w:val="24"/>
        </w:rPr>
        <w:t>券</w:t>
      </w:r>
      <w:proofErr w:type="gramEnd"/>
      <w:r>
        <w:rPr>
          <w:rFonts w:ascii="宋体" w:hAnsi="宋体"/>
          <w:sz w:val="24"/>
        </w:rPr>
        <w:t>等流通受限证券。</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本基金不得投资未经中国证监会批准的非公开发行证券。</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本基金不得投资有</w:t>
      </w:r>
      <w:proofErr w:type="gramStart"/>
      <w:r>
        <w:rPr>
          <w:rFonts w:ascii="宋体" w:hAnsi="宋体" w:hint="eastAsia"/>
          <w:sz w:val="24"/>
        </w:rPr>
        <w:t>锁定期但锁定</w:t>
      </w:r>
      <w:proofErr w:type="gramEnd"/>
      <w:r>
        <w:rPr>
          <w:rFonts w:ascii="宋体" w:hAnsi="宋体" w:hint="eastAsia"/>
          <w:sz w:val="24"/>
        </w:rPr>
        <w:t>期不明确的证券。</w:t>
      </w:r>
    </w:p>
    <w:p w:rsidR="00EF58AF" w:rsidRDefault="003764FD">
      <w:pPr>
        <w:spacing w:line="360" w:lineRule="auto"/>
        <w:ind w:firstLineChars="200" w:firstLine="480"/>
        <w:contextualSpacing/>
        <w:rPr>
          <w:rFonts w:ascii="宋体" w:hAnsi="宋体"/>
          <w:sz w:val="24"/>
        </w:rPr>
      </w:pPr>
      <w:r>
        <w:rPr>
          <w:rFonts w:ascii="宋体" w:hAnsi="宋体"/>
          <w:sz w:val="24"/>
        </w:rPr>
        <w:t xml:space="preserve">2. </w:t>
      </w:r>
      <w:r>
        <w:rPr>
          <w:rFonts w:ascii="宋体" w:hAnsi="宋体" w:hint="eastAsia"/>
          <w:sz w:val="24"/>
        </w:rPr>
        <w:t>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基金管理人应至少</w:t>
      </w:r>
      <w:proofErr w:type="gramStart"/>
      <w:r>
        <w:rPr>
          <w:rFonts w:ascii="宋体" w:hAnsi="宋体" w:hint="eastAsia"/>
          <w:sz w:val="24"/>
        </w:rPr>
        <w:t>于首次</w:t>
      </w:r>
      <w:proofErr w:type="gramEnd"/>
      <w:r>
        <w:rPr>
          <w:rFonts w:ascii="宋体" w:hAnsi="宋体" w:hint="eastAsia"/>
          <w:sz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w:t>
      </w:r>
      <w:r>
        <w:rPr>
          <w:rFonts w:ascii="宋体" w:hAnsi="宋体" w:hint="eastAsia"/>
          <w:sz w:val="24"/>
        </w:rPr>
        <w:lastRenderedPageBreak/>
        <w:t>限证券导致的流动性风险，基金托管人不承担任何责任。</w:t>
      </w:r>
    </w:p>
    <w:p w:rsidR="00EF58AF" w:rsidRDefault="003764FD">
      <w:pPr>
        <w:spacing w:line="360" w:lineRule="auto"/>
        <w:ind w:firstLineChars="200" w:firstLine="480"/>
        <w:contextualSpacing/>
        <w:rPr>
          <w:rFonts w:ascii="宋体" w:hAnsi="宋体"/>
          <w:sz w:val="24"/>
        </w:rPr>
      </w:pPr>
      <w:r>
        <w:rPr>
          <w:rFonts w:ascii="宋体" w:hAnsi="宋体"/>
          <w:sz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Pr>
          <w:rFonts w:ascii="宋体" w:hAnsi="宋体"/>
          <w:sz w:val="24"/>
        </w:rPr>
        <w:t>于拟执行</w:t>
      </w:r>
      <w:proofErr w:type="gramEnd"/>
      <w:r>
        <w:rPr>
          <w:rFonts w:ascii="宋体" w:hAnsi="宋体"/>
          <w:sz w:val="24"/>
        </w:rPr>
        <w:t>投资指令前两个工作日将上述信息书面发至基金托管人，保证基金托管人有足够的时间进行审核。</w:t>
      </w:r>
    </w:p>
    <w:p w:rsidR="00EF58AF" w:rsidRDefault="003764FD">
      <w:pPr>
        <w:spacing w:line="360" w:lineRule="auto"/>
        <w:ind w:firstLineChars="200" w:firstLine="480"/>
        <w:contextualSpacing/>
        <w:rPr>
          <w:rFonts w:ascii="宋体" w:hAnsi="宋体"/>
          <w:sz w:val="24"/>
        </w:rPr>
      </w:pPr>
      <w:r>
        <w:rPr>
          <w:rFonts w:ascii="宋体" w:hAnsi="宋体" w:hint="eastAsia"/>
          <w:sz w:val="24"/>
        </w:rPr>
        <w:t>由于基金管理人未及时提供有关证券的具体的必要的信息，致使托管人无法审核认购指令而影响认购款项划拨的，基金托管人免于承担责任。</w:t>
      </w:r>
    </w:p>
    <w:p w:rsidR="00EF58AF" w:rsidRDefault="003764FD">
      <w:pPr>
        <w:spacing w:line="360" w:lineRule="auto"/>
        <w:ind w:firstLineChars="200" w:firstLine="480"/>
        <w:contextualSpacing/>
        <w:rPr>
          <w:rFonts w:ascii="宋体" w:hAnsi="宋体"/>
          <w:sz w:val="24"/>
        </w:rPr>
      </w:pPr>
      <w:r>
        <w:rPr>
          <w:rFonts w:ascii="宋体" w:hAnsi="宋体"/>
          <w:sz w:val="24"/>
        </w:rPr>
        <w:t>4.基金托管人依照法律法规</w:t>
      </w:r>
      <w:r>
        <w:rPr>
          <w:rFonts w:ascii="宋体" w:hAnsi="宋体" w:hint="eastAsia"/>
          <w:sz w:val="24"/>
        </w:rPr>
        <w:t>、《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rsidR="00EF58AF" w:rsidRDefault="003764FD">
      <w:pPr>
        <w:spacing w:line="360" w:lineRule="auto"/>
        <w:ind w:firstLineChars="200" w:firstLine="480"/>
        <w:contextualSpacing/>
        <w:rPr>
          <w:rFonts w:ascii="宋体" w:hAnsi="宋体"/>
          <w:sz w:val="24"/>
        </w:rPr>
      </w:pPr>
      <w:r>
        <w:rPr>
          <w:rFonts w:ascii="宋体" w:hAnsi="宋体"/>
          <w:sz w:val="24"/>
        </w:rPr>
        <w:t>5. 基金管理</w:t>
      </w:r>
      <w:r>
        <w:rPr>
          <w:rFonts w:ascii="宋体" w:hAnsi="宋体" w:hint="eastAsia"/>
          <w:sz w:val="24"/>
        </w:rPr>
        <w:t>人</w:t>
      </w:r>
      <w:r>
        <w:rPr>
          <w:rFonts w:ascii="宋体" w:hAnsi="宋体"/>
          <w:sz w:val="24"/>
        </w:rPr>
        <w:t>应在基金投资非公开发行股票后两个交易日内,在中国证监会</w:t>
      </w:r>
      <w:r>
        <w:rPr>
          <w:rFonts w:ascii="宋体" w:hAnsi="宋体" w:hint="eastAsia"/>
          <w:sz w:val="24"/>
        </w:rPr>
        <w:t>规定</w:t>
      </w:r>
      <w:r>
        <w:rPr>
          <w:rFonts w:ascii="宋体" w:hAnsi="宋体"/>
          <w:sz w:val="24"/>
        </w:rPr>
        <w:t>媒介披露所投资非公开发行股票的名称、数量、总成本、账面价值,以及总成本和账面价值占基金资产净值的比例、锁定期等信息。</w:t>
      </w:r>
    </w:p>
    <w:p w:rsidR="00EF58AF" w:rsidRDefault="003764FD">
      <w:pPr>
        <w:spacing w:line="360" w:lineRule="auto"/>
        <w:ind w:firstLineChars="200" w:firstLine="480"/>
        <w:contextualSpacing/>
        <w:rPr>
          <w:rFonts w:ascii="宋体" w:hAnsi="宋体"/>
          <w:sz w:val="24"/>
        </w:rPr>
      </w:pPr>
      <w:r>
        <w:rPr>
          <w:rFonts w:ascii="宋体" w:hAnsi="宋体" w:hint="eastAsia"/>
          <w:sz w:val="24"/>
        </w:rPr>
        <w:t>（六）基金管理人应当对投资中期票据业务进行研究，认真评估中期票据投资业务的风险，本着审慎、勤勉尽责的原则进行中期票据的投资业务，并应符合法律法规及监管机构的相关规定。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（七）基金托管人根据有关法律法规的规定及《基金合同》的约定，对基金资产净值计算、</w:t>
      </w:r>
      <w:r>
        <w:rPr>
          <w:rFonts w:ascii="宋体" w:hAnsi="宋体" w:cs="Arial" w:hint="eastAsia"/>
          <w:sz w:val="24"/>
        </w:rPr>
        <w:t>各类</w:t>
      </w:r>
      <w:r>
        <w:rPr>
          <w:rFonts w:ascii="宋体" w:hAnsi="宋体" w:hint="eastAsia"/>
          <w:sz w:val="24"/>
        </w:rPr>
        <w:t>基金份额净值计算、基金费用开支及收入确定、基金收益分配、相关信息披露、基金宣传推介材料中登载基金业绩表现数据等进行监督和核查。</w:t>
      </w:r>
    </w:p>
    <w:p w:rsidR="00EF58AF" w:rsidRDefault="003764FD">
      <w:pPr>
        <w:spacing w:line="360" w:lineRule="auto"/>
        <w:ind w:firstLineChars="200" w:firstLine="480"/>
        <w:contextualSpacing/>
        <w:rPr>
          <w:rFonts w:ascii="宋体" w:hAnsi="宋体"/>
          <w:sz w:val="24"/>
        </w:rPr>
      </w:pPr>
      <w:r>
        <w:rPr>
          <w:rFonts w:ascii="宋体" w:hAnsi="宋体"/>
          <w:sz w:val="24"/>
        </w:rPr>
        <w:t>（八）基金托管人发现基金管理人的上述事项及投资指令或实际投资运作违反法律法规、《基金合同》和本托管协议的规定，应及时以电话、邮件或书面提示等方式通知基金管理人限期纠正。 基金管理人应积极配合和协助基金托管人的监督和核查。基金管理人收到通知后应及时核对并回复基金托管人，对于收到的书面通知，基金管理人应以书面形式给基金托管人发出回函，就基金托管人的</w:t>
      </w:r>
      <w:r>
        <w:rPr>
          <w:rFonts w:ascii="宋体" w:hAnsi="宋体" w:hint="eastAsia"/>
          <w:sz w:val="24"/>
        </w:rPr>
        <w:t>合理</w:t>
      </w:r>
      <w:r>
        <w:rPr>
          <w:rFonts w:ascii="宋体" w:hAnsi="宋体"/>
          <w:sz w:val="24"/>
        </w:rPr>
        <w:t>疑义</w:t>
      </w:r>
      <w:r>
        <w:rPr>
          <w:rFonts w:ascii="宋体" w:hAnsi="宋体"/>
          <w:sz w:val="24"/>
        </w:rPr>
        <w:lastRenderedPageBreak/>
        <w:t>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rsidR="00EF58AF" w:rsidRDefault="003764FD">
      <w:pPr>
        <w:spacing w:line="360" w:lineRule="auto"/>
        <w:ind w:firstLineChars="200" w:firstLine="480"/>
        <w:contextualSpacing/>
        <w:rPr>
          <w:rFonts w:ascii="宋体" w:hAnsi="宋体"/>
          <w:sz w:val="24"/>
        </w:rPr>
      </w:pPr>
      <w:r>
        <w:rPr>
          <w:rFonts w:ascii="宋体" w:hAnsi="宋体" w:hint="eastAsia"/>
          <w:sz w:val="24"/>
        </w:rPr>
        <w:t>（九）基金管理人有义务配合和协助基金托管人依照法律法规、《基金合同》和本托管协议对基金业务执行核查。包括但不限于：对基金托管人发出的提示，基金管理人应在规定时间内答复并改正，或就基金托管人的合理疑义进行解释或举证；对基金托管人按照法律法规、基金合同和本托管协议的要求需向中国证监会报送基金监督报告的事项，基金管理人应积极配合提供相关数据资料和制度等。</w:t>
      </w:r>
    </w:p>
    <w:p w:rsidR="00EF58AF" w:rsidRDefault="003764FD">
      <w:pPr>
        <w:spacing w:line="360" w:lineRule="auto"/>
        <w:ind w:firstLineChars="200" w:firstLine="480"/>
        <w:contextualSpacing/>
        <w:rPr>
          <w:rFonts w:ascii="宋体" w:hAnsi="宋体"/>
          <w:sz w:val="24"/>
        </w:rPr>
      </w:pPr>
      <w:r>
        <w:rPr>
          <w:rFonts w:ascii="宋体" w:hAnsi="宋体" w:hint="eastAsia"/>
          <w:sz w:val="24"/>
        </w:rPr>
        <w:t>（十）</w:t>
      </w:r>
      <w:proofErr w:type="gramStart"/>
      <w:r>
        <w:rPr>
          <w:rFonts w:ascii="宋体" w:hAnsi="宋体" w:hint="eastAsia"/>
          <w:sz w:val="24"/>
        </w:rPr>
        <w:t>若基金</w:t>
      </w:r>
      <w:proofErr w:type="gramEnd"/>
      <w:r>
        <w:rPr>
          <w:rFonts w:ascii="宋体" w:hAnsi="宋体" w:hint="eastAsia"/>
          <w:sz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rsidR="00EF58AF" w:rsidRDefault="003764FD">
      <w:pPr>
        <w:spacing w:line="360" w:lineRule="auto"/>
        <w:ind w:firstLineChars="200" w:firstLine="480"/>
        <w:contextualSpacing/>
        <w:rPr>
          <w:rFonts w:ascii="宋体" w:hAnsi="宋体"/>
          <w:sz w:val="24"/>
        </w:rPr>
      </w:pPr>
      <w:r>
        <w:rPr>
          <w:rFonts w:ascii="宋体" w:hAnsi="宋体" w:hint="eastAsia"/>
          <w:sz w:val="24"/>
        </w:rPr>
        <w:t>（十一）基金托管人发现基金管理人有重大违规行为，应及时报告中国证监会，同时通知基金管理人限期纠正。</w:t>
      </w:r>
      <w:bookmarkStart w:id="28" w:name="_Toc119402710"/>
      <w:bookmarkStart w:id="29" w:name="_Toc86649722"/>
      <w:bookmarkStart w:id="30" w:name="_Toc118212950"/>
      <w:bookmarkStart w:id="31" w:name="_Toc110830492"/>
      <w:bookmarkStart w:id="32" w:name="_Toc86727355"/>
      <w:bookmarkStart w:id="33" w:name="_Toc118774803"/>
      <w:bookmarkStart w:id="34" w:name="_Toc89163368"/>
      <w:bookmarkStart w:id="35" w:name="_Toc118972648"/>
      <w:bookmarkStart w:id="36" w:name="_Toc110761796"/>
      <w:bookmarkStart w:id="37" w:name="_Toc108512358"/>
      <w:bookmarkStart w:id="38" w:name="_Toc86726439"/>
      <w:bookmarkStart w:id="39" w:name="_Toc86737929"/>
      <w:bookmarkStart w:id="40" w:name="_Toc86225291"/>
      <w:bookmarkStart w:id="41" w:name="_Toc110765660"/>
      <w:bookmarkStart w:id="42" w:name="_Toc120435783"/>
      <w:bookmarkStart w:id="43" w:name="_Toc86223242"/>
    </w:p>
    <w:bookmarkEnd w:id="25"/>
    <w:p w:rsidR="00EF58AF" w:rsidRDefault="00EF58AF">
      <w:pPr>
        <w:spacing w:line="360" w:lineRule="auto"/>
        <w:ind w:firstLineChars="200" w:firstLine="480"/>
        <w:contextualSpacing/>
        <w:rPr>
          <w:rFonts w:ascii="宋体" w:hAnsi="宋体"/>
          <w:sz w:val="24"/>
        </w:rPr>
        <w:sectPr w:rsidR="00EF58AF">
          <w:footerReference w:type="default" r:id="rId56"/>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44" w:name="_Toc3276851"/>
      <w:bookmarkStart w:id="45" w:name="_Toc348082032"/>
      <w:bookmarkStart w:id="46" w:name="_Toc384992694"/>
      <w:bookmarkStart w:id="47" w:name="CLAUSE_3941d2e12a5840c8a774da0b5e8d5732"/>
      <w:r>
        <w:rPr>
          <w:rFonts w:ascii="宋体" w:eastAsia="宋体" w:hAnsi="宋体"/>
        </w:rPr>
        <w:lastRenderedPageBreak/>
        <w:t xml:space="preserve"> </w:t>
      </w:r>
      <w:bookmarkStart w:id="48" w:name="CTS_3941d2e12a5840c8a774da0b5e8d5732"/>
      <w:bookmarkEnd w:id="48"/>
      <w:r>
        <w:rPr>
          <w:rFonts w:ascii="宋体" w:eastAsia="宋体" w:hAnsi="宋体" w:hint="eastAsia"/>
        </w:rPr>
        <w:t>基金管理人对基金托管人的业务核查</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管理人对基金托管人履行托管职责情况进行核查，核查事项包括基金托管人安全保管基金财产、开设基金财产的资金账户、证券账户、期货结算账户等投资所需账户、复核基金管理人计算的基金资产净值和</w:t>
      </w:r>
      <w:r>
        <w:rPr>
          <w:rFonts w:ascii="宋体" w:hAnsi="宋体" w:cs="Arial" w:hint="eastAsia"/>
          <w:sz w:val="24"/>
        </w:rPr>
        <w:t>各类</w:t>
      </w:r>
      <w:r>
        <w:rPr>
          <w:rFonts w:ascii="宋体" w:hAnsi="宋体" w:hint="eastAsia"/>
          <w:sz w:val="24"/>
        </w:rPr>
        <w:t>基金份额净值、根据基金管理人指令办理清算交收、相关信息披露和监督基金投资运作等行为。</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Pr>
          <w:rFonts w:ascii="宋体" w:hAnsi="宋体" w:hint="eastAsia"/>
          <w:sz w:val="24"/>
        </w:rPr>
        <w:t>供基金</w:t>
      </w:r>
      <w:proofErr w:type="gramEnd"/>
      <w:r>
        <w:rPr>
          <w:rFonts w:ascii="宋体" w:hAnsi="宋体" w:hint="eastAsia"/>
          <w:sz w:val="24"/>
        </w:rPr>
        <w:t>管理人核查托管财产的完整性和真实性。</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（四）基金管理人发现基金托管人有重大违规行为，应及时报告中国证监会，同时通知基金托管人限期纠正，并将纠正结果报告中国证监会。</w:t>
      </w:r>
    </w:p>
    <w:p w:rsidR="00EF58AF" w:rsidRDefault="00EF58AF">
      <w:pPr>
        <w:spacing w:line="360" w:lineRule="auto"/>
        <w:ind w:firstLineChars="200" w:firstLine="480"/>
        <w:contextualSpacing/>
        <w:rPr>
          <w:rFonts w:ascii="宋体" w:hAnsi="宋体"/>
          <w:sz w:val="24"/>
        </w:rPr>
      </w:pPr>
    </w:p>
    <w:bookmarkEnd w:id="47"/>
    <w:p w:rsidR="00EF58AF" w:rsidRDefault="00EF58AF">
      <w:pPr>
        <w:spacing w:line="360" w:lineRule="auto"/>
        <w:ind w:firstLineChars="200" w:firstLine="480"/>
        <w:contextualSpacing/>
        <w:rPr>
          <w:rFonts w:ascii="宋体" w:hAnsi="宋体"/>
          <w:sz w:val="24"/>
        </w:rPr>
        <w:sectPr w:rsidR="00EF58AF">
          <w:footerReference w:type="default" r:id="rId57"/>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49" w:name="_Toc84234435"/>
      <w:bookmarkStart w:id="50" w:name="_Toc108512359"/>
      <w:bookmarkStart w:id="51" w:name="_Toc110761797"/>
      <w:bookmarkStart w:id="52" w:name="_Toc86225292"/>
      <w:bookmarkStart w:id="53" w:name="_Toc86726440"/>
      <w:bookmarkStart w:id="54" w:name="_Toc86737930"/>
      <w:bookmarkStart w:id="55" w:name="_Toc3276852"/>
      <w:bookmarkStart w:id="56" w:name="_Toc348082033"/>
      <w:bookmarkStart w:id="57" w:name="_Toc384992695"/>
      <w:bookmarkStart w:id="58" w:name="_Toc120435784"/>
      <w:bookmarkStart w:id="59" w:name="_Toc110830493"/>
      <w:bookmarkStart w:id="60" w:name="_Toc118774804"/>
      <w:bookmarkStart w:id="61" w:name="_Toc118972649"/>
      <w:bookmarkStart w:id="62" w:name="_Toc86727356"/>
      <w:bookmarkStart w:id="63" w:name="_Toc84234388"/>
      <w:bookmarkStart w:id="64" w:name="_Toc86649723"/>
      <w:bookmarkStart w:id="65" w:name="_Toc89163369"/>
      <w:bookmarkStart w:id="66" w:name="_Toc84133786"/>
      <w:bookmarkStart w:id="67" w:name="_Toc119402711"/>
      <w:bookmarkStart w:id="68" w:name="_Toc86223243"/>
      <w:bookmarkStart w:id="69" w:name="_Toc110765661"/>
      <w:bookmarkStart w:id="70" w:name="_Toc86204789"/>
      <w:bookmarkStart w:id="71" w:name="_Toc118212951"/>
      <w:bookmarkStart w:id="72" w:name="CLAUSE_ae32e2f5dbd7495eb29c9432267c084b"/>
      <w:r>
        <w:rPr>
          <w:rFonts w:ascii="宋体" w:eastAsia="宋体" w:hAnsi="宋体"/>
        </w:rPr>
        <w:lastRenderedPageBreak/>
        <w:t xml:space="preserve"> </w:t>
      </w:r>
      <w:bookmarkStart w:id="73" w:name="CTS_ae32e2f5dbd7495eb29c9432267c084b"/>
      <w:bookmarkEnd w:id="73"/>
      <w:r>
        <w:rPr>
          <w:rFonts w:ascii="宋体" w:eastAsia="宋体" w:hAnsi="宋体" w:hint="eastAsia"/>
        </w:rPr>
        <w:t>基金财产的保管</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（一）基金财产保管的原则</w:t>
      </w:r>
    </w:p>
    <w:p w:rsidR="00EF58AF" w:rsidRDefault="003764FD">
      <w:pPr>
        <w:spacing w:line="360" w:lineRule="auto"/>
        <w:ind w:firstLineChars="200" w:firstLine="480"/>
        <w:contextualSpacing/>
        <w:rPr>
          <w:rFonts w:ascii="宋体" w:hAnsi="宋体"/>
          <w:sz w:val="24"/>
        </w:rPr>
      </w:pPr>
      <w:r>
        <w:rPr>
          <w:rFonts w:ascii="宋体" w:hAnsi="宋体"/>
          <w:sz w:val="24"/>
        </w:rPr>
        <w:t>1.基金财产应独立于基金管理人、基金托管</w:t>
      </w:r>
      <w:r>
        <w:rPr>
          <w:rFonts w:ascii="宋体" w:hAnsi="宋体" w:cs="Arial" w:hint="eastAsia"/>
          <w:sz w:val="24"/>
        </w:rPr>
        <w:t>人和证券经纪机构</w:t>
      </w:r>
      <w:r>
        <w:rPr>
          <w:rFonts w:ascii="宋体" w:hAnsi="宋体" w:hint="eastAsia"/>
          <w:sz w:val="24"/>
        </w:rPr>
        <w:t>的固有财产。</w:t>
      </w:r>
    </w:p>
    <w:p w:rsidR="00EF58AF" w:rsidRDefault="003764FD">
      <w:pPr>
        <w:spacing w:line="360" w:lineRule="auto"/>
        <w:ind w:firstLineChars="200" w:firstLine="480"/>
        <w:contextualSpacing/>
        <w:rPr>
          <w:rFonts w:ascii="宋体" w:hAnsi="宋体"/>
          <w:sz w:val="24"/>
        </w:rPr>
      </w:pPr>
      <w:r>
        <w:rPr>
          <w:rFonts w:ascii="宋体" w:hAnsi="宋体"/>
          <w:sz w:val="24"/>
        </w:rPr>
        <w:t>2.基金托管人应安全保管基金财产。</w:t>
      </w:r>
    </w:p>
    <w:p w:rsidR="00EF58AF" w:rsidRDefault="003764FD">
      <w:pPr>
        <w:spacing w:line="360" w:lineRule="auto"/>
        <w:ind w:firstLineChars="200" w:firstLine="480"/>
        <w:contextualSpacing/>
        <w:rPr>
          <w:rFonts w:ascii="宋体" w:hAnsi="宋体"/>
          <w:sz w:val="24"/>
        </w:rPr>
      </w:pPr>
      <w:r>
        <w:rPr>
          <w:rFonts w:ascii="宋体" w:hAnsi="宋体"/>
          <w:sz w:val="24"/>
        </w:rPr>
        <w:t>3.基金托管人按照规定开设基金财产</w:t>
      </w:r>
      <w:r>
        <w:rPr>
          <w:rFonts w:ascii="宋体" w:hAnsi="宋体" w:hint="eastAsia"/>
          <w:sz w:val="24"/>
        </w:rPr>
        <w:t>投资所需的相关账户。</w:t>
      </w:r>
    </w:p>
    <w:p w:rsidR="00EF58AF" w:rsidRDefault="003764FD">
      <w:pPr>
        <w:spacing w:line="360" w:lineRule="auto"/>
        <w:ind w:firstLineChars="200" w:firstLine="480"/>
        <w:contextualSpacing/>
        <w:rPr>
          <w:rFonts w:ascii="宋体" w:hAnsi="宋体"/>
          <w:sz w:val="24"/>
        </w:rPr>
      </w:pPr>
      <w:r>
        <w:rPr>
          <w:rFonts w:ascii="宋体" w:hAnsi="宋体"/>
          <w:sz w:val="24"/>
        </w:rPr>
        <w:t>4.基金托管人对所托管的不同基金财产分别设置账户，确保基金财产的完整与独立。</w:t>
      </w:r>
    </w:p>
    <w:p w:rsidR="00EF58AF" w:rsidRDefault="003764FD">
      <w:pPr>
        <w:spacing w:line="360" w:lineRule="auto"/>
        <w:ind w:firstLineChars="200" w:firstLine="480"/>
        <w:contextualSpacing/>
        <w:rPr>
          <w:rFonts w:ascii="宋体" w:hAnsi="宋体"/>
          <w:sz w:val="24"/>
        </w:rPr>
      </w:pPr>
      <w:r>
        <w:rPr>
          <w:rFonts w:ascii="宋体" w:hAnsi="宋体"/>
          <w:sz w:val="24"/>
        </w:rPr>
        <w:t>5.基金托管人根据基金管理人的指令，按照基金合同和本协议的约定保管基金财产。</w:t>
      </w:r>
      <w:r>
        <w:rPr>
          <w:rFonts w:ascii="宋体" w:hAnsi="宋体" w:hint="eastAsia"/>
          <w:sz w:val="24"/>
        </w:rPr>
        <w:t>未经基金管理人的正当指令，不得自行运用、处分、分配基金的任何资产。不属于基金托管人实际有效控制下的资产及实物证券等在基金托管人保管期间的损坏、灭失，基金托管人不承担由此产生的责任。</w:t>
      </w:r>
    </w:p>
    <w:p w:rsidR="00EF58AF" w:rsidRDefault="003764FD">
      <w:pPr>
        <w:spacing w:line="360" w:lineRule="auto"/>
        <w:ind w:firstLineChars="200" w:firstLine="480"/>
        <w:contextualSpacing/>
        <w:rPr>
          <w:rFonts w:ascii="宋体" w:hAnsi="宋体"/>
          <w:sz w:val="24"/>
        </w:rPr>
      </w:pPr>
      <w:r>
        <w:rPr>
          <w:rFonts w:ascii="宋体" w:hAnsi="宋体"/>
          <w:sz w:val="24"/>
        </w:rPr>
        <w:t>6.对于因为基金投资产生的应收资产，应由基金管理人负责与有关当事人确定到账日期并通知基金托管人，到账日基金财产没有到达基金</w:t>
      </w:r>
      <w:r>
        <w:rPr>
          <w:rFonts w:ascii="宋体" w:hAnsi="宋体" w:hint="eastAsia"/>
          <w:sz w:val="24"/>
        </w:rPr>
        <w:t>资金账户的，基金托管人应及时通知基金管理人采取措施进行催收，基金管理人应负责向有关当事人追偿基金财产的损失，基金托管人应给予必要的协助。</w:t>
      </w:r>
    </w:p>
    <w:p w:rsidR="00EF58AF" w:rsidRDefault="003764FD">
      <w:pPr>
        <w:spacing w:line="360" w:lineRule="auto"/>
        <w:ind w:firstLineChars="200" w:firstLine="480"/>
        <w:contextualSpacing/>
        <w:rPr>
          <w:rFonts w:ascii="宋体" w:hAnsi="宋体"/>
          <w:sz w:val="24"/>
        </w:rPr>
      </w:pPr>
      <w:r>
        <w:rPr>
          <w:rFonts w:ascii="宋体" w:hAnsi="宋体"/>
          <w:sz w:val="24"/>
        </w:rPr>
        <w:t>7.</w:t>
      </w:r>
      <w:r>
        <w:rPr>
          <w:rFonts w:ascii="宋体" w:hAnsi="宋体" w:hint="eastAsia"/>
          <w:sz w:val="24"/>
        </w:rPr>
        <w:t>基金托管人对因为基金管理人投资产生的存放或存管在基金托管人以外机构的基金资产，或交由期货公司或证券公司负责清算交收的基金资产（包括但不限于证券交易资金账户内的资金、证券类基金资产和期货保证金账户内的资金、期货合约等）及其收益，由于该等机构或该机构会员单位等本协议当事人外第三方的欺诈、疏忽、过失或破产等原因给基金资产造成的损失等不承担责任。</w:t>
      </w:r>
    </w:p>
    <w:p w:rsidR="00EF58AF" w:rsidRDefault="003764FD">
      <w:pPr>
        <w:spacing w:line="360" w:lineRule="auto"/>
        <w:ind w:firstLineChars="200" w:firstLine="480"/>
        <w:contextualSpacing/>
        <w:rPr>
          <w:rFonts w:ascii="宋体" w:hAnsi="宋体"/>
          <w:sz w:val="24"/>
        </w:rPr>
      </w:pPr>
      <w:r>
        <w:rPr>
          <w:rFonts w:ascii="宋体" w:hAnsi="宋体"/>
          <w:sz w:val="24"/>
        </w:rPr>
        <w:t>8.</w:t>
      </w:r>
      <w:r>
        <w:rPr>
          <w:rFonts w:ascii="宋体" w:hAnsi="宋体" w:hint="eastAsia"/>
          <w:sz w:val="24"/>
        </w:rPr>
        <w:t>除依据法律法规和基金合同的规定外，基金托管人不得委托第三人托管基金财产。</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（二）基金募集期间及募集资金的验资</w:t>
      </w:r>
    </w:p>
    <w:p w:rsidR="00EF58AF" w:rsidRDefault="003764FD">
      <w:pPr>
        <w:spacing w:line="360" w:lineRule="auto"/>
        <w:ind w:firstLineChars="200" w:firstLine="480"/>
        <w:contextualSpacing/>
        <w:rPr>
          <w:rFonts w:ascii="宋体" w:hAnsi="宋体"/>
          <w:sz w:val="24"/>
        </w:rPr>
      </w:pPr>
      <w:r>
        <w:rPr>
          <w:rFonts w:ascii="宋体" w:hAnsi="宋体"/>
          <w:sz w:val="24"/>
        </w:rPr>
        <w:t>1.基金募集期间募集的资金应开立“基金募集专户”。该账户由基金管理人或基金管理人委托的登记机构</w:t>
      </w:r>
      <w:r>
        <w:rPr>
          <w:rFonts w:ascii="宋体" w:hAnsi="宋体" w:hint="eastAsia"/>
          <w:sz w:val="24"/>
        </w:rPr>
        <w:t>开立并管理。</w:t>
      </w:r>
    </w:p>
    <w:p w:rsidR="00EF58AF" w:rsidRDefault="003764FD">
      <w:pPr>
        <w:spacing w:line="360" w:lineRule="auto"/>
        <w:ind w:firstLineChars="200" w:firstLine="480"/>
        <w:contextualSpacing/>
        <w:rPr>
          <w:rFonts w:ascii="宋体" w:hAnsi="宋体"/>
          <w:sz w:val="24"/>
        </w:rPr>
      </w:pPr>
      <w:r>
        <w:rPr>
          <w:rFonts w:ascii="宋体" w:hAnsi="宋体"/>
          <w:sz w:val="24"/>
        </w:rPr>
        <w:t>2.基金募集期满或基金停止募集时，募集的基金份额总额、基金募集金额、基金份额持有人人数符合《基金法》、《运作办法》等有关规定后，基金管理人应将属于基金财产的全部资金划入基金托管人</w:t>
      </w:r>
      <w:r>
        <w:rPr>
          <w:rFonts w:ascii="宋体" w:hAnsi="宋体" w:hint="eastAsia"/>
          <w:sz w:val="24"/>
        </w:rPr>
        <w:t>为基金开立的基金资金账户，同时在规定</w:t>
      </w:r>
      <w:r>
        <w:rPr>
          <w:rFonts w:ascii="宋体" w:hAnsi="宋体" w:hint="eastAsia"/>
          <w:sz w:val="24"/>
        </w:rPr>
        <w:lastRenderedPageBreak/>
        <w:t>时间内，基金管理人应聘</w:t>
      </w:r>
      <w:proofErr w:type="gramStart"/>
      <w:r>
        <w:rPr>
          <w:rFonts w:ascii="宋体" w:hAnsi="宋体" w:hint="eastAsia"/>
          <w:sz w:val="24"/>
        </w:rPr>
        <w:t>请</w:t>
      </w:r>
      <w:bookmarkStart w:id="74" w:name="_Hlk48047709"/>
      <w:r>
        <w:rPr>
          <w:rFonts w:ascii="宋体" w:hAnsi="宋体" w:hint="eastAsia"/>
          <w:sz w:val="24"/>
        </w:rPr>
        <w:t>符合</w:t>
      </w:r>
      <w:proofErr w:type="gramEnd"/>
      <w:r>
        <w:rPr>
          <w:rFonts w:ascii="宋体" w:hAnsi="宋体" w:hint="eastAsia"/>
          <w:sz w:val="24"/>
        </w:rPr>
        <w:t>《中华人民共和国证券法》规定</w:t>
      </w:r>
      <w:bookmarkEnd w:id="74"/>
      <w:r>
        <w:rPr>
          <w:rFonts w:ascii="宋体" w:hAnsi="宋体" w:hint="eastAsia"/>
          <w:sz w:val="24"/>
        </w:rPr>
        <w:t>的会计师事务所进行验资，出具验资报告。出具的验资报告由参加验资的</w:t>
      </w:r>
      <w:r>
        <w:rPr>
          <w:rFonts w:ascii="宋体" w:hAnsi="宋体"/>
          <w:sz w:val="24"/>
        </w:rPr>
        <w:t>2名或2名以上中国注册会计师签字方为有效。</w:t>
      </w:r>
    </w:p>
    <w:p w:rsidR="00EF58AF" w:rsidRDefault="003764FD">
      <w:pPr>
        <w:spacing w:line="360" w:lineRule="auto"/>
        <w:ind w:firstLineChars="200" w:firstLine="480"/>
        <w:contextualSpacing/>
        <w:rPr>
          <w:rFonts w:ascii="宋体" w:hAnsi="宋体"/>
          <w:sz w:val="24"/>
        </w:rPr>
      </w:pPr>
      <w:r>
        <w:rPr>
          <w:rFonts w:ascii="宋体" w:hAnsi="宋体"/>
          <w:sz w:val="24"/>
        </w:rPr>
        <w:t>3.</w:t>
      </w:r>
      <w:proofErr w:type="gramStart"/>
      <w:r>
        <w:rPr>
          <w:rFonts w:ascii="宋体" w:hAnsi="宋体"/>
          <w:sz w:val="24"/>
        </w:rPr>
        <w:t>若基金</w:t>
      </w:r>
      <w:proofErr w:type="gramEnd"/>
      <w:r>
        <w:rPr>
          <w:rFonts w:ascii="宋体" w:hAnsi="宋体"/>
          <w:sz w:val="24"/>
        </w:rPr>
        <w:t>募集期限届满，未能达到基金合同生效的条件，由基金管理人按规定办理退款等事宜</w:t>
      </w:r>
      <w:r>
        <w:rPr>
          <w:rFonts w:ascii="宋体" w:hAnsi="宋体" w:hint="eastAsia"/>
          <w:sz w:val="24"/>
        </w:rPr>
        <w:t>。</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（三）基金资金账户的开立和管理</w:t>
      </w:r>
    </w:p>
    <w:p w:rsidR="00EF58AF" w:rsidRDefault="003764FD">
      <w:pPr>
        <w:spacing w:line="360" w:lineRule="auto"/>
        <w:ind w:firstLineChars="200" w:firstLine="480"/>
        <w:contextualSpacing/>
        <w:rPr>
          <w:rFonts w:ascii="宋体" w:hAnsi="宋体"/>
          <w:sz w:val="24"/>
        </w:rPr>
      </w:pPr>
      <w:r>
        <w:rPr>
          <w:rFonts w:ascii="宋体" w:hAnsi="宋体"/>
          <w:sz w:val="24"/>
        </w:rPr>
        <w:t>1.基金托管人以</w:t>
      </w:r>
      <w:r>
        <w:rPr>
          <w:rFonts w:ascii="宋体" w:hAnsi="宋体" w:hint="eastAsia"/>
          <w:sz w:val="24"/>
        </w:rPr>
        <w:t>本基金的名义在其营业机构开立基金的资金账户（也可称为“托管账户”），保管基金的银行存款，并根据基金管理人的指令办理资金收付。托管账户名称应为“</w:t>
      </w:r>
      <w:r>
        <w:rPr>
          <w:rFonts w:ascii="宋体" w:hAnsi="宋体" w:cs="Arial" w:hint="eastAsia"/>
          <w:sz w:val="24"/>
        </w:rPr>
        <w:t>东方阿尔法招阳混合型证券投资基金</w:t>
      </w:r>
      <w:r>
        <w:rPr>
          <w:rFonts w:ascii="宋体" w:hAnsi="宋体" w:hint="eastAsia"/>
          <w:sz w:val="24"/>
        </w:rPr>
        <w:t>”，预留印鉴为基金托管人印章。</w:t>
      </w:r>
    </w:p>
    <w:p w:rsidR="00EF58AF" w:rsidRDefault="003764FD">
      <w:pPr>
        <w:spacing w:line="360" w:lineRule="auto"/>
        <w:ind w:firstLineChars="200" w:firstLine="480"/>
        <w:contextualSpacing/>
        <w:rPr>
          <w:rFonts w:ascii="宋体" w:hAnsi="宋体"/>
          <w:sz w:val="24"/>
        </w:rPr>
      </w:pPr>
      <w:r>
        <w:rPr>
          <w:rFonts w:ascii="宋体" w:hAnsi="宋体"/>
          <w:sz w:val="24"/>
        </w:rPr>
        <w:t>2.基金</w:t>
      </w:r>
      <w:r>
        <w:rPr>
          <w:rFonts w:ascii="宋体" w:hAnsi="宋体" w:hint="eastAsia"/>
          <w:sz w:val="24"/>
        </w:rPr>
        <w:t>资金账户的开立和使用，限于满足开展本基金业务的需要。基金托管人和基金管理人不得假借本基金的名义开立任何其他银行账户；亦不得使用基金的任何账户进行本基金业务以外的活动。</w:t>
      </w:r>
    </w:p>
    <w:p w:rsidR="00EF58AF" w:rsidRDefault="003764FD">
      <w:pPr>
        <w:spacing w:line="360" w:lineRule="auto"/>
        <w:ind w:firstLineChars="200" w:firstLine="480"/>
        <w:contextualSpacing/>
        <w:rPr>
          <w:rFonts w:ascii="宋体" w:hAnsi="宋体"/>
          <w:sz w:val="24"/>
        </w:rPr>
      </w:pPr>
      <w:r>
        <w:rPr>
          <w:rFonts w:ascii="宋体" w:hAnsi="宋体"/>
          <w:sz w:val="24"/>
        </w:rPr>
        <w:t>3.基金</w:t>
      </w:r>
      <w:r>
        <w:rPr>
          <w:rFonts w:ascii="宋体" w:hAnsi="宋体" w:hint="eastAsia"/>
          <w:sz w:val="24"/>
        </w:rPr>
        <w:t>资金账户的开立和管理应符合法律法规及银行业监督管理机构的有关规定。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（四）基金证券账户和</w:t>
      </w:r>
      <w:r>
        <w:rPr>
          <w:rFonts w:ascii="宋体" w:hAnsi="宋体" w:cs="Arial" w:hint="eastAsia"/>
          <w:sz w:val="24"/>
        </w:rPr>
        <w:t>资金交收</w:t>
      </w:r>
      <w:r>
        <w:rPr>
          <w:rFonts w:ascii="宋体" w:hAnsi="宋体" w:hint="eastAsia"/>
          <w:sz w:val="24"/>
        </w:rPr>
        <w:t>账户的开立和管理</w:t>
      </w:r>
    </w:p>
    <w:p w:rsidR="00EF58AF" w:rsidRDefault="003764FD">
      <w:pPr>
        <w:spacing w:line="360" w:lineRule="auto"/>
        <w:ind w:firstLineChars="200" w:firstLine="480"/>
        <w:contextualSpacing/>
        <w:rPr>
          <w:rFonts w:ascii="宋体" w:hAnsi="宋体"/>
          <w:sz w:val="24"/>
        </w:rPr>
      </w:pPr>
      <w:r>
        <w:rPr>
          <w:rFonts w:ascii="宋体" w:hAnsi="宋体"/>
          <w:sz w:val="24"/>
        </w:rPr>
        <w:t>1.基金托管人在中国证券登记结算有限责任公司上海分公司、深圳分公司为基金开立基金托管人与基金联名的证券账户。</w:t>
      </w:r>
    </w:p>
    <w:p w:rsidR="00EF58AF" w:rsidRDefault="003764FD">
      <w:pPr>
        <w:spacing w:line="360" w:lineRule="auto"/>
        <w:ind w:firstLineChars="200" w:firstLine="480"/>
        <w:contextualSpacing/>
        <w:rPr>
          <w:rFonts w:ascii="宋体" w:hAnsi="宋体"/>
          <w:sz w:val="24"/>
        </w:rPr>
      </w:pPr>
      <w:r>
        <w:rPr>
          <w:rFonts w:ascii="宋体" w:hAnsi="宋体"/>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EF58AF" w:rsidRDefault="003764FD">
      <w:pPr>
        <w:spacing w:line="360" w:lineRule="auto"/>
        <w:ind w:firstLineChars="200" w:firstLine="480"/>
        <w:contextualSpacing/>
        <w:rPr>
          <w:rFonts w:ascii="宋体" w:hAnsi="宋体"/>
          <w:sz w:val="24"/>
        </w:rPr>
      </w:pPr>
      <w:r>
        <w:rPr>
          <w:rFonts w:ascii="宋体" w:hAnsi="宋体"/>
          <w:sz w:val="24"/>
        </w:rPr>
        <w:t>3.基金证券账户的开立和证券账户卡的保管由基金托管人负责，账户资产的管理和运用由基金管理人负责。</w:t>
      </w:r>
    </w:p>
    <w:p w:rsidR="00EF58AF" w:rsidRDefault="003764FD">
      <w:pPr>
        <w:spacing w:line="360" w:lineRule="auto"/>
        <w:ind w:firstLineChars="200" w:firstLine="480"/>
        <w:contextualSpacing/>
        <w:rPr>
          <w:rFonts w:ascii="宋体" w:hAnsi="宋体" w:cs="Arial"/>
          <w:sz w:val="24"/>
        </w:rPr>
      </w:pPr>
      <w:r>
        <w:rPr>
          <w:rFonts w:ascii="宋体" w:hAnsi="宋体"/>
          <w:sz w:val="24"/>
        </w:rPr>
        <w:t>4.</w:t>
      </w:r>
      <w:r>
        <w:rPr>
          <w:rFonts w:ascii="宋体" w:hAnsi="宋体" w:hint="eastAsia"/>
          <w:sz w:val="24"/>
        </w:rPr>
        <w:t>基金</w:t>
      </w:r>
      <w:r>
        <w:rPr>
          <w:rFonts w:ascii="宋体" w:hAnsi="宋体" w:cs="Arial" w:hint="eastAsia"/>
          <w:sz w:val="24"/>
        </w:rPr>
        <w:t>管理人为</w:t>
      </w:r>
      <w:r>
        <w:rPr>
          <w:rFonts w:ascii="宋体" w:hAnsi="宋体" w:hint="eastAsia"/>
          <w:sz w:val="24"/>
        </w:rPr>
        <w:t>基金</w:t>
      </w:r>
      <w:r>
        <w:rPr>
          <w:rFonts w:ascii="宋体" w:hAnsi="宋体" w:cs="Arial" w:hint="eastAsia"/>
          <w:sz w:val="24"/>
        </w:rPr>
        <w:t>财产</w:t>
      </w:r>
      <w:r>
        <w:rPr>
          <w:rFonts w:ascii="宋体" w:hAnsi="宋体" w:hint="eastAsia"/>
          <w:sz w:val="24"/>
        </w:rPr>
        <w:t>在证券</w:t>
      </w:r>
      <w:r>
        <w:rPr>
          <w:rFonts w:ascii="宋体" w:hAnsi="宋体" w:cs="Arial" w:hint="eastAsia"/>
          <w:sz w:val="24"/>
        </w:rPr>
        <w:t>经纪机构</w:t>
      </w:r>
      <w:r>
        <w:rPr>
          <w:rFonts w:ascii="宋体" w:hAnsi="宋体" w:hint="eastAsia"/>
          <w:sz w:val="24"/>
        </w:rPr>
        <w:t>开立</w:t>
      </w:r>
      <w:r>
        <w:rPr>
          <w:rFonts w:ascii="宋体" w:hAnsi="宋体" w:cs="Arial" w:hint="eastAsia"/>
          <w:sz w:val="24"/>
        </w:rPr>
        <w:t>证券交易资金</w:t>
      </w:r>
      <w:r>
        <w:rPr>
          <w:rFonts w:ascii="宋体" w:hAnsi="宋体" w:hint="eastAsia"/>
          <w:sz w:val="24"/>
        </w:rPr>
        <w:t>账户，</w:t>
      </w:r>
      <w:r>
        <w:rPr>
          <w:rFonts w:ascii="宋体" w:hAnsi="宋体" w:cs="Arial" w:hint="eastAsia"/>
          <w:sz w:val="24"/>
        </w:rPr>
        <w:t>用于</w:t>
      </w:r>
      <w:r>
        <w:rPr>
          <w:rFonts w:ascii="宋体" w:hAnsi="宋体" w:hint="eastAsia"/>
          <w:sz w:val="24"/>
        </w:rPr>
        <w:t>基金</w:t>
      </w:r>
      <w:r>
        <w:rPr>
          <w:rFonts w:ascii="宋体" w:hAnsi="宋体" w:cs="Arial" w:hint="eastAsia"/>
          <w:sz w:val="24"/>
        </w:rPr>
        <w:t>财产</w:t>
      </w:r>
      <w:r>
        <w:rPr>
          <w:rFonts w:ascii="宋体" w:hAnsi="宋体" w:hint="eastAsia"/>
          <w:sz w:val="24"/>
        </w:rPr>
        <w:t>证券</w:t>
      </w:r>
      <w:r>
        <w:rPr>
          <w:rFonts w:ascii="宋体" w:hAnsi="宋体" w:cs="Arial" w:hint="eastAsia"/>
          <w:sz w:val="24"/>
        </w:rPr>
        <w:t>交易结算资金的存管、记载交易结算资金的变动明细以及场内证券交易清算，并与基金托管</w:t>
      </w:r>
      <w:r>
        <w:rPr>
          <w:rFonts w:ascii="宋体" w:hAnsi="宋体" w:cs="Arial"/>
          <w:sz w:val="24"/>
        </w:rPr>
        <w:t>人</w:t>
      </w:r>
      <w:r>
        <w:rPr>
          <w:rFonts w:ascii="宋体" w:hAnsi="宋体" w:cs="Arial" w:hint="eastAsia"/>
          <w:sz w:val="24"/>
        </w:rPr>
        <w:t>开立的托管账户建立第三方存管关系。</w:t>
      </w:r>
    </w:p>
    <w:p w:rsidR="00EF58AF" w:rsidRDefault="003764FD">
      <w:pPr>
        <w:spacing w:line="360" w:lineRule="auto"/>
        <w:ind w:firstLineChars="200" w:firstLine="480"/>
        <w:contextualSpacing/>
        <w:rPr>
          <w:rFonts w:ascii="宋体" w:hAnsi="宋体"/>
          <w:sz w:val="24"/>
        </w:rPr>
      </w:pPr>
      <w:r>
        <w:rPr>
          <w:rFonts w:ascii="宋体" w:hAnsi="宋体" w:cs="Arial" w:hint="eastAsia"/>
          <w:sz w:val="24"/>
        </w:rPr>
        <w:t>基金托管人和基金管理人不得出借或转让证券账户、证券交易资金账户，亦不得使用证券账户或证券交易资金账户进行本基金业务以外的活动。本基金通过证券经纪机构进行</w:t>
      </w:r>
      <w:r>
        <w:rPr>
          <w:rFonts w:ascii="宋体" w:hAnsi="宋体" w:hint="eastAsia"/>
          <w:sz w:val="24"/>
        </w:rPr>
        <w:t>的</w:t>
      </w:r>
      <w:r>
        <w:rPr>
          <w:rFonts w:ascii="宋体" w:hAnsi="宋体" w:cs="Arial" w:hint="eastAsia"/>
          <w:sz w:val="24"/>
        </w:rPr>
        <w:t>交易由证券经纪机构作为结算参与人代理本基金进行结算</w:t>
      </w:r>
      <w:r>
        <w:rPr>
          <w:rFonts w:ascii="宋体" w:hAnsi="宋体" w:hint="eastAsia"/>
          <w:sz w:val="24"/>
        </w:rPr>
        <w:t>。</w:t>
      </w:r>
    </w:p>
    <w:p w:rsidR="00EF58AF" w:rsidRDefault="003764FD">
      <w:pPr>
        <w:spacing w:line="360" w:lineRule="auto"/>
        <w:ind w:firstLineChars="200" w:firstLine="480"/>
        <w:contextualSpacing/>
        <w:rPr>
          <w:rFonts w:ascii="宋体" w:hAnsi="宋体" w:cs="Arial"/>
          <w:sz w:val="24"/>
        </w:rPr>
      </w:pPr>
      <w:r>
        <w:rPr>
          <w:rFonts w:ascii="宋体" w:hAnsi="宋体" w:cs="Arial"/>
          <w:sz w:val="24"/>
        </w:rPr>
        <w:lastRenderedPageBreak/>
        <w:t>5.基金管理人承诺证券交易资金账户为主资金账户，不开立任何辅助资金账户；不为证券交易资金账户另行开立银行托管账户以外的其他银行账户。</w:t>
      </w:r>
    </w:p>
    <w:p w:rsidR="00EF58AF" w:rsidRDefault="003764FD">
      <w:pPr>
        <w:spacing w:line="360" w:lineRule="auto"/>
        <w:ind w:firstLineChars="200" w:firstLine="480"/>
        <w:contextualSpacing/>
        <w:rPr>
          <w:rFonts w:ascii="宋体" w:hAnsi="宋体"/>
          <w:sz w:val="24"/>
        </w:rPr>
      </w:pPr>
      <w:r>
        <w:rPr>
          <w:rFonts w:ascii="宋体" w:hAnsi="宋体" w:cs="Arial"/>
          <w:sz w:val="24"/>
        </w:rPr>
        <w:t>6</w:t>
      </w:r>
      <w:r>
        <w:rPr>
          <w:rFonts w:ascii="宋体" w:hAnsi="宋体"/>
          <w:sz w:val="24"/>
        </w:rPr>
        <w:t>.若中国证监会或其他监管机构在本托管协议订立日之后允许基金从事其他投资品种的投资业务，涉及相关账户的开立、使用的，</w:t>
      </w:r>
      <w:r>
        <w:rPr>
          <w:rFonts w:ascii="宋体" w:hAnsi="宋体" w:hint="eastAsia"/>
          <w:color w:val="000000"/>
          <w:sz w:val="24"/>
        </w:rPr>
        <w:t>按有关规定开立、使用并管理；</w:t>
      </w:r>
      <w:r>
        <w:rPr>
          <w:rFonts w:ascii="宋体" w:hAnsi="宋体" w:hint="eastAsia"/>
          <w:sz w:val="24"/>
        </w:rPr>
        <w:t>若无相关规定，</w:t>
      </w:r>
      <w:proofErr w:type="gramStart"/>
      <w:r>
        <w:rPr>
          <w:rFonts w:ascii="宋体" w:hAnsi="宋体" w:hint="eastAsia"/>
          <w:sz w:val="24"/>
        </w:rPr>
        <w:t>则基金</w:t>
      </w:r>
      <w:proofErr w:type="gramEnd"/>
      <w:r>
        <w:rPr>
          <w:rFonts w:ascii="宋体" w:hAnsi="宋体" w:hint="eastAsia"/>
          <w:sz w:val="24"/>
        </w:rPr>
        <w:t>托管人比照上述关于账户开立、使用的规定执行。</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（五）债券托管账户的开设和管理</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合同生效后，基金托管人根据中国人民银行、中央国债登记结算有限责任公司和银行间市场清算所股份有限公司的有关规定，以基金的名义在银行间市场登记结算机构开立债券托管账户，并代表基金进行银行间市场债券的结算。</w:t>
      </w:r>
    </w:p>
    <w:p w:rsidR="00EF58AF" w:rsidRDefault="003764FD">
      <w:pPr>
        <w:spacing w:line="360" w:lineRule="auto"/>
        <w:ind w:firstLineChars="200" w:firstLine="480"/>
        <w:contextualSpacing/>
        <w:rPr>
          <w:rFonts w:ascii="宋体" w:hAnsi="宋体"/>
          <w:sz w:val="24"/>
        </w:rPr>
      </w:pPr>
      <w:r>
        <w:rPr>
          <w:rFonts w:ascii="宋体" w:hAnsi="宋体" w:hint="eastAsia"/>
          <w:sz w:val="24"/>
        </w:rPr>
        <w:t>（六）其他账户的开立和管理</w:t>
      </w:r>
    </w:p>
    <w:p w:rsidR="00EF58AF" w:rsidRDefault="003764FD">
      <w:pPr>
        <w:spacing w:line="360" w:lineRule="auto"/>
        <w:ind w:firstLineChars="200" w:firstLine="480"/>
        <w:contextualSpacing/>
        <w:rPr>
          <w:rFonts w:ascii="宋体" w:hAnsi="宋体"/>
          <w:sz w:val="24"/>
        </w:rPr>
      </w:pPr>
      <w:r>
        <w:rPr>
          <w:rFonts w:ascii="宋体" w:hAnsi="宋体"/>
          <w:sz w:val="24"/>
        </w:rPr>
        <w:t>1.</w:t>
      </w:r>
      <w:r>
        <w:rPr>
          <w:rFonts w:ascii="宋体" w:hAnsi="宋体" w:hint="eastAsia"/>
          <w:sz w:val="24"/>
        </w:rPr>
        <w:t>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市场监控中心的登录用户名及密码告知基金托管人。资金密码和市场监控中心登录密码重置由基金管理人进行，重置后务必及时通知托管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基金托管人和基金管理人应当在开户过程中相互配合，并提供所需资料。基金管理人保证所提供的账户开户材料的真实性和有效性，且在相关资料变更后及时将变更的资料提供给基金托管人。</w:t>
      </w:r>
    </w:p>
    <w:p w:rsidR="00EF58AF" w:rsidRDefault="003764FD">
      <w:pPr>
        <w:spacing w:line="360" w:lineRule="auto"/>
        <w:ind w:firstLineChars="200" w:firstLine="480"/>
        <w:contextualSpacing/>
        <w:rPr>
          <w:rFonts w:ascii="宋体" w:hAnsi="宋体"/>
          <w:sz w:val="24"/>
        </w:rPr>
      </w:pPr>
      <w:r>
        <w:rPr>
          <w:rFonts w:ascii="宋体" w:hAnsi="宋体"/>
          <w:sz w:val="24"/>
        </w:rPr>
        <w:t>2.</w:t>
      </w:r>
      <w:r>
        <w:rPr>
          <w:rFonts w:ascii="宋体" w:hAnsi="宋体" w:hint="eastAsia"/>
          <w:sz w:val="24"/>
        </w:rPr>
        <w:t>因业务发展需要而开立的其他账户，可以根据法律法规和基金合同的规定，由基金管理人协助基金托管人按照有关法律法规和本协议的约定协商后开立。新账户按有关规定使用并管理。</w:t>
      </w:r>
    </w:p>
    <w:p w:rsidR="00EF58AF" w:rsidRDefault="003764FD">
      <w:pPr>
        <w:spacing w:line="360" w:lineRule="auto"/>
        <w:ind w:firstLineChars="200" w:firstLine="480"/>
        <w:contextualSpacing/>
        <w:rPr>
          <w:rFonts w:ascii="宋体" w:hAnsi="宋体"/>
          <w:sz w:val="24"/>
        </w:rPr>
      </w:pPr>
      <w:r>
        <w:rPr>
          <w:rFonts w:ascii="宋体" w:hAnsi="宋体"/>
          <w:sz w:val="24"/>
        </w:rPr>
        <w:t>3.法律法规等有关规定对相关账户的开立和管理另有规定的，从其规定办理。</w:t>
      </w:r>
    </w:p>
    <w:p w:rsidR="00EF58AF" w:rsidRDefault="003764FD">
      <w:pPr>
        <w:spacing w:line="360" w:lineRule="auto"/>
        <w:ind w:firstLineChars="200" w:firstLine="480"/>
        <w:contextualSpacing/>
        <w:rPr>
          <w:rFonts w:ascii="宋体" w:hAnsi="宋体"/>
          <w:sz w:val="24"/>
        </w:rPr>
      </w:pPr>
      <w:r>
        <w:rPr>
          <w:rFonts w:ascii="宋体" w:hAnsi="宋体" w:hint="eastAsia"/>
          <w:sz w:val="24"/>
        </w:rPr>
        <w:t>（七）基金财产投资的有关有价凭证等的保管</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lastRenderedPageBreak/>
        <w:t>（八）与基金财产有关的重大合同的保管</w:t>
      </w:r>
    </w:p>
    <w:p w:rsidR="00EF58AF" w:rsidRDefault="003764FD">
      <w:pPr>
        <w:spacing w:line="360" w:lineRule="auto"/>
        <w:ind w:firstLineChars="200" w:firstLine="480"/>
        <w:contextualSpacing/>
        <w:rPr>
          <w:rFonts w:ascii="宋体" w:hAnsi="宋体"/>
          <w:sz w:val="24"/>
        </w:rPr>
      </w:pPr>
      <w:r>
        <w:rPr>
          <w:rFonts w:ascii="宋体" w:hAnsi="宋体" w:hint="eastAsia"/>
          <w:sz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w:t>
      </w:r>
      <w:r>
        <w:rPr>
          <w:rFonts w:ascii="宋体" w:hAnsi="宋体"/>
          <w:sz w:val="24"/>
        </w:rPr>
        <w:t>15年</w:t>
      </w:r>
      <w:r>
        <w:rPr>
          <w:rFonts w:ascii="宋体" w:hAnsi="宋体" w:hint="eastAsia"/>
          <w:sz w:val="24"/>
        </w:rPr>
        <w:t>，法律法规或监管规则另有规定的，从其规定</w:t>
      </w:r>
      <w:r>
        <w:rPr>
          <w:rFonts w:ascii="宋体" w:hAnsi="宋体"/>
          <w:sz w:val="24"/>
        </w:rPr>
        <w:t>。</w:t>
      </w:r>
    </w:p>
    <w:p w:rsidR="00EF58AF" w:rsidRDefault="003764FD">
      <w:pPr>
        <w:spacing w:line="360" w:lineRule="auto"/>
        <w:ind w:firstLineChars="200" w:firstLine="480"/>
        <w:contextualSpacing/>
        <w:rPr>
          <w:rFonts w:ascii="宋体" w:hAnsi="宋体"/>
          <w:sz w:val="24"/>
        </w:rPr>
      </w:pPr>
      <w:r>
        <w:rPr>
          <w:rFonts w:ascii="宋体" w:hAnsi="宋体" w:hint="eastAsia"/>
          <w:sz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rsidR="00EF58AF" w:rsidRDefault="00EF58AF">
      <w:pPr>
        <w:spacing w:line="360" w:lineRule="auto"/>
        <w:ind w:firstLineChars="200" w:firstLine="480"/>
        <w:contextualSpacing/>
        <w:rPr>
          <w:rFonts w:ascii="宋体" w:hAnsi="宋体"/>
          <w:sz w:val="24"/>
        </w:rPr>
      </w:pPr>
    </w:p>
    <w:bookmarkEnd w:id="72"/>
    <w:p w:rsidR="00EF58AF" w:rsidRDefault="00EF58AF">
      <w:pPr>
        <w:spacing w:line="360" w:lineRule="auto"/>
        <w:ind w:firstLineChars="200" w:firstLine="480"/>
        <w:contextualSpacing/>
        <w:rPr>
          <w:rFonts w:ascii="宋体" w:hAnsi="宋体"/>
          <w:sz w:val="24"/>
        </w:rPr>
        <w:sectPr w:rsidR="00EF58AF">
          <w:footerReference w:type="default" r:id="rId58"/>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75" w:name="_Toc3276853"/>
      <w:bookmarkStart w:id="76" w:name="_Toc86204790"/>
      <w:bookmarkStart w:id="77" w:name="_Toc118212952"/>
      <w:bookmarkStart w:id="78" w:name="_Toc348082034"/>
      <w:bookmarkStart w:id="79" w:name="_Toc86649724"/>
      <w:bookmarkStart w:id="80" w:name="_Toc86726441"/>
      <w:bookmarkStart w:id="81" w:name="_Toc384992696"/>
      <w:bookmarkStart w:id="82" w:name="_Toc110765662"/>
      <w:bookmarkStart w:id="83" w:name="_Toc118774805"/>
      <w:bookmarkStart w:id="84" w:name="_Toc86737931"/>
      <w:bookmarkStart w:id="85" w:name="_Toc84133787"/>
      <w:bookmarkStart w:id="86" w:name="_Toc84234389"/>
      <w:bookmarkStart w:id="87" w:name="_Toc89163370"/>
      <w:bookmarkStart w:id="88" w:name="_Toc108512360"/>
      <w:bookmarkStart w:id="89" w:name="_Toc120435785"/>
      <w:bookmarkStart w:id="90" w:name="_Toc118972650"/>
      <w:bookmarkStart w:id="91" w:name="_Toc86727357"/>
      <w:bookmarkStart w:id="92" w:name="_Toc86225293"/>
      <w:bookmarkStart w:id="93" w:name="_Toc86223244"/>
      <w:bookmarkStart w:id="94" w:name="_Toc119402712"/>
      <w:bookmarkStart w:id="95" w:name="_Toc110830494"/>
      <w:bookmarkStart w:id="96" w:name="_Toc84234436"/>
      <w:bookmarkStart w:id="97" w:name="_Toc110761798"/>
      <w:bookmarkStart w:id="98" w:name="CLAUSE_34806e539a8f471b92f0dfa4de179c52"/>
      <w:r>
        <w:rPr>
          <w:rFonts w:ascii="宋体" w:eastAsia="宋体" w:hAnsi="宋体"/>
        </w:rPr>
        <w:lastRenderedPageBreak/>
        <w:t xml:space="preserve"> </w:t>
      </w:r>
      <w:bookmarkStart w:id="99" w:name="CTS_34806e539a8f471b92f0dfa4de179c52"/>
      <w:bookmarkEnd w:id="99"/>
      <w:r>
        <w:rPr>
          <w:rFonts w:ascii="宋体" w:eastAsia="宋体" w:hAnsi="宋体" w:hint="eastAsia"/>
        </w:rPr>
        <w:t>指令的发送、确认及执行</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基金管理人在运用基金财产时向基金托管人发送资金划拨及其他款项付款指令，基金托管人执行基金管理人的指令、办理基金名下的资金往来等有关事项。</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基金管理人发送的指令包括电子指令和纸质指令。</w:t>
      </w:r>
    </w:p>
    <w:p w:rsidR="00EF58AF" w:rsidRDefault="003764FD">
      <w:pPr>
        <w:spacing w:line="360" w:lineRule="auto"/>
        <w:ind w:firstLineChars="200" w:firstLine="480"/>
        <w:contextualSpacing/>
        <w:rPr>
          <w:rFonts w:ascii="宋体" w:hAnsi="宋体"/>
          <w:sz w:val="24"/>
        </w:rPr>
      </w:pPr>
      <w:r>
        <w:rPr>
          <w:rFonts w:ascii="宋体" w:hAnsi="宋体" w:hint="eastAsia"/>
          <w:sz w:val="24"/>
        </w:rPr>
        <w:t>电子指令包括基金管理人发送的电子指令（采用电子报文传送的电子指令、网上托管银行管理人客户端录入的电子指令）、自动产生的电子指令（网上托管银行托管人</w:t>
      </w:r>
      <w:proofErr w:type="gramStart"/>
      <w:r>
        <w:rPr>
          <w:rFonts w:ascii="宋体" w:hAnsi="宋体" w:hint="eastAsia"/>
          <w:sz w:val="24"/>
        </w:rPr>
        <w:t>端根据</w:t>
      </w:r>
      <w:proofErr w:type="gramEnd"/>
      <w:r>
        <w:rPr>
          <w:rFonts w:ascii="宋体" w:hAnsi="宋体" w:hint="eastAsia"/>
          <w:sz w:val="24"/>
        </w:rPr>
        <w:t>预先设定的业务规则自动产生的电子指令）。管理人在启用电子指令前应使用传真或其他与基金托管人协商一致的方式向基金托管人发出启用函。</w:t>
      </w:r>
      <w:proofErr w:type="gramStart"/>
      <w:r>
        <w:rPr>
          <w:rFonts w:ascii="宋体" w:hAnsi="宋体" w:hint="eastAsia"/>
          <w:sz w:val="24"/>
        </w:rPr>
        <w:t>启用函应注明</w:t>
      </w:r>
      <w:proofErr w:type="gramEnd"/>
      <w:r>
        <w:rPr>
          <w:rFonts w:ascii="宋体" w:hAnsi="宋体" w:hint="eastAsia"/>
          <w:sz w:val="24"/>
        </w:rPr>
        <w:t>启用的业务类型、启用日期等。</w:t>
      </w:r>
      <w:proofErr w:type="gramStart"/>
      <w:r>
        <w:rPr>
          <w:rFonts w:ascii="宋体" w:hAnsi="宋体" w:hint="eastAsia"/>
          <w:sz w:val="24"/>
        </w:rPr>
        <w:t>启用函应加盖</w:t>
      </w:r>
      <w:proofErr w:type="gramEnd"/>
      <w:r>
        <w:rPr>
          <w:rFonts w:ascii="宋体" w:hAnsi="宋体" w:hint="eastAsia"/>
          <w:sz w:val="24"/>
        </w:rPr>
        <w:t>基金管理人公司公章。</w:t>
      </w:r>
    </w:p>
    <w:p w:rsidR="00EF58AF" w:rsidRDefault="003764FD">
      <w:pPr>
        <w:spacing w:line="360" w:lineRule="auto"/>
        <w:ind w:firstLineChars="200" w:firstLine="480"/>
        <w:contextualSpacing/>
        <w:rPr>
          <w:rFonts w:ascii="宋体" w:hAnsi="宋体"/>
          <w:sz w:val="24"/>
        </w:rPr>
      </w:pPr>
      <w:r>
        <w:rPr>
          <w:rFonts w:ascii="宋体" w:hAnsi="宋体" w:hint="eastAsia"/>
          <w:sz w:val="24"/>
        </w:rPr>
        <w:t>管理人在发送纸质指令前，应出具传真指令启用函，注明发送传真的传真号、发送指令附件的邮箱地址以及指令确认人员及其联系方式。</w:t>
      </w:r>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（一）基金管理人对发送指令人员的书面授权</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授权通知的内容：基金管理人应事先向基金托管人提供书面授权通知（以下称“授权通知”），指定指令的被授权人员及被授权印鉴，授权通知的内容包括被授权人的名单、签章样本、权限和预留印鉴。授权通知应加盖基金管理人公司公章并写明生效时间。基金管理人应使用传真或其他与基金托管人协商一致的方式向基金托管人发出授权通知，同时电话通知基金托管人。授权通知经基金管理人与基金托管人以电话方式或其他基金管理人和基金托管人认可的方式确认后，于授权通知载明的生效时间生效，未注明生效时间的以授权通知的落款日期为生效日期。基金管理人在此后三个工作日内将授权通知的正本送交基金托管人。授权通知书正本内容与基金托管人收到的传真不一致的，以基金托管人收到的传真为准。</w:t>
      </w:r>
    </w:p>
    <w:p w:rsidR="00EF58AF" w:rsidRDefault="003764FD">
      <w:pPr>
        <w:tabs>
          <w:tab w:val="left" w:pos="1260"/>
        </w:tabs>
        <w:spacing w:line="360" w:lineRule="auto"/>
        <w:ind w:firstLineChars="200" w:firstLine="480"/>
        <w:contextualSpacing/>
        <w:rPr>
          <w:rFonts w:ascii="宋体" w:hAnsi="宋体"/>
          <w:sz w:val="24"/>
        </w:rPr>
      </w:pPr>
      <w:r>
        <w:rPr>
          <w:rFonts w:ascii="宋体" w:hAnsi="宋体" w:hint="eastAsia"/>
          <w:sz w:val="24"/>
        </w:rPr>
        <w:t>基金管理人和基金托管人对授权通知负有保密义务，其内容不得向授权人、被授权人及相关操作人员以外的任何人泄露，但法律法规规定或有权机关另有要求的除外。</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（二）指令的内容</w:t>
      </w:r>
    </w:p>
    <w:p w:rsidR="00EF58AF" w:rsidRDefault="003764FD">
      <w:pPr>
        <w:spacing w:line="360" w:lineRule="auto"/>
        <w:ind w:firstLineChars="200" w:firstLine="480"/>
        <w:contextualSpacing/>
        <w:rPr>
          <w:rFonts w:ascii="宋体" w:hAnsi="宋体"/>
          <w:sz w:val="24"/>
        </w:rPr>
      </w:pPr>
      <w:r>
        <w:rPr>
          <w:rFonts w:ascii="宋体" w:hAnsi="宋体" w:hint="eastAsia"/>
          <w:sz w:val="24"/>
        </w:rPr>
        <w:t>投资指令是在管理本基金时，基金管理人向基金托管人发出的交易成交单、交易指令及资金划拨类指令（以下简称“指令”）。指令应加盖预留印鉴并由被授权人签章。基金管理人发给基金托管人的资金划拨类指令应写明款项事由、时间、金额、</w:t>
      </w:r>
      <w:r>
        <w:rPr>
          <w:rFonts w:ascii="宋体" w:hAnsi="宋体" w:hint="eastAsia"/>
          <w:sz w:val="24"/>
        </w:rPr>
        <w:lastRenderedPageBreak/>
        <w:t>出款和收款账户信息等。</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（三）指令的发送、确认及执行的时间和程序</w:t>
      </w:r>
    </w:p>
    <w:p w:rsidR="00EF58AF" w:rsidRDefault="003764FD">
      <w:pPr>
        <w:spacing w:line="360" w:lineRule="auto"/>
        <w:ind w:firstLineChars="200" w:firstLine="480"/>
        <w:contextualSpacing/>
        <w:rPr>
          <w:rFonts w:ascii="宋体" w:hAnsi="宋体"/>
          <w:sz w:val="24"/>
        </w:rPr>
      </w:pPr>
      <w:r>
        <w:rPr>
          <w:rFonts w:ascii="宋体" w:hAnsi="宋体"/>
          <w:sz w:val="24"/>
        </w:rPr>
        <w:t>1.指令的发送</w:t>
      </w:r>
      <w:r>
        <w:rPr>
          <w:rFonts w:ascii="宋体" w:hAnsi="宋体" w:hint="eastAsia"/>
          <w:sz w:val="24"/>
        </w:rPr>
        <w:t>：基金管理人应按照相关法律法规以及本协议的规定，在其合法的经营权限和交易权限内依照授权通知的授权用传真方式或其他基金托管人和基金管理人认可的方式向基金托管人发送。基金管理人在发送指令时，应确保相关出款账户有足够的资金余额，并为基金托管人留出执行指令所必需的时间。</w:t>
      </w:r>
    </w:p>
    <w:p w:rsidR="00EF58AF" w:rsidRDefault="003764FD">
      <w:pPr>
        <w:spacing w:line="360" w:lineRule="auto"/>
        <w:ind w:firstLineChars="200" w:firstLine="480"/>
        <w:contextualSpacing/>
        <w:rPr>
          <w:rFonts w:ascii="宋体" w:hAnsi="宋体"/>
          <w:sz w:val="24"/>
        </w:rPr>
      </w:pPr>
      <w:r>
        <w:rPr>
          <w:rFonts w:ascii="宋体" w:hAnsi="宋体" w:hint="eastAsia"/>
          <w:sz w:val="24"/>
        </w:rPr>
        <w:t>对于新股、新债申购等网下公开发行业务，基金管理人应于网下申购缴款日的</w:t>
      </w:r>
      <w:r>
        <w:rPr>
          <w:rFonts w:ascii="宋体" w:hAnsi="宋体"/>
          <w:sz w:val="24"/>
        </w:rPr>
        <w:t>10:00前将指令发送给</w:t>
      </w:r>
      <w:r>
        <w:rPr>
          <w:rFonts w:ascii="宋体" w:hAnsi="宋体" w:hint="eastAsia"/>
          <w:sz w:val="24"/>
        </w:rPr>
        <w:t>基金托管人。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对于期货</w:t>
      </w:r>
      <w:proofErr w:type="gramStart"/>
      <w:r>
        <w:rPr>
          <w:rFonts w:ascii="宋体" w:hAnsi="宋体" w:hint="eastAsia"/>
          <w:sz w:val="24"/>
        </w:rPr>
        <w:t>出入金</w:t>
      </w:r>
      <w:proofErr w:type="gramEnd"/>
      <w:r>
        <w:rPr>
          <w:rFonts w:ascii="宋体" w:hAnsi="宋体" w:hint="eastAsia"/>
          <w:sz w:val="24"/>
        </w:rPr>
        <w:t>业务，基金管理人应于交易日期货</w:t>
      </w:r>
      <w:proofErr w:type="gramStart"/>
      <w:r>
        <w:rPr>
          <w:rFonts w:ascii="宋体" w:hAnsi="宋体" w:hint="eastAsia"/>
          <w:sz w:val="24"/>
        </w:rPr>
        <w:t>出入金</w:t>
      </w:r>
      <w:proofErr w:type="gramEnd"/>
      <w:r>
        <w:rPr>
          <w:rFonts w:ascii="宋体" w:hAnsi="宋体" w:hint="eastAsia"/>
          <w:sz w:val="24"/>
        </w:rPr>
        <w:t>截止时间前</w:t>
      </w:r>
      <w:r>
        <w:rPr>
          <w:rFonts w:ascii="宋体" w:hAnsi="宋体"/>
          <w:sz w:val="24"/>
        </w:rPr>
        <w:t>2小时将期货</w:t>
      </w:r>
      <w:proofErr w:type="gramStart"/>
      <w:r>
        <w:rPr>
          <w:rFonts w:ascii="宋体" w:hAnsi="宋体"/>
          <w:sz w:val="24"/>
        </w:rPr>
        <w:t>出入金</w:t>
      </w:r>
      <w:proofErr w:type="gramEnd"/>
      <w:r>
        <w:rPr>
          <w:rFonts w:ascii="宋体" w:hAnsi="宋体"/>
          <w:sz w:val="24"/>
        </w:rPr>
        <w:t>指令发送至</w:t>
      </w:r>
      <w:r>
        <w:rPr>
          <w:rFonts w:ascii="宋体" w:hAnsi="宋体" w:hint="eastAsia"/>
          <w:sz w:val="24"/>
        </w:rPr>
        <w:t>基金托管人。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对于场内业务，基金管理人在运用基金财产时，开展场内证券交易前，基金管理人通过基金托管账户与证券资金账户已建立的第三方存管系统在基金</w:t>
      </w:r>
      <w:proofErr w:type="gramStart"/>
      <w:r>
        <w:rPr>
          <w:rFonts w:ascii="宋体" w:hAnsi="宋体" w:hint="eastAsia"/>
          <w:sz w:val="24"/>
        </w:rPr>
        <w:t>托管户</w:t>
      </w:r>
      <w:proofErr w:type="gramEnd"/>
      <w:r>
        <w:rPr>
          <w:rFonts w:ascii="宋体" w:hAnsi="宋体" w:hint="eastAsia"/>
          <w:sz w:val="24"/>
        </w:rPr>
        <w:t>与证券资金账户之间划款，</w:t>
      </w:r>
      <w:proofErr w:type="gramStart"/>
      <w:r>
        <w:rPr>
          <w:rFonts w:ascii="宋体" w:hAnsi="宋体" w:hint="eastAsia"/>
          <w:sz w:val="24"/>
        </w:rPr>
        <w:t>即银证互</w:t>
      </w:r>
      <w:proofErr w:type="gramEnd"/>
      <w:r>
        <w:rPr>
          <w:rFonts w:ascii="宋体" w:hAnsi="宋体" w:hint="eastAsia"/>
          <w:sz w:val="24"/>
        </w:rPr>
        <w:t>转。</w:t>
      </w:r>
    </w:p>
    <w:p w:rsidR="00EF58AF" w:rsidRDefault="003764FD">
      <w:pPr>
        <w:spacing w:line="360" w:lineRule="auto"/>
        <w:ind w:firstLineChars="200" w:firstLine="480"/>
        <w:contextualSpacing/>
        <w:rPr>
          <w:rFonts w:ascii="宋体" w:hAnsi="宋体"/>
          <w:sz w:val="24"/>
        </w:rPr>
      </w:pPr>
      <w:r>
        <w:rPr>
          <w:rFonts w:ascii="宋体" w:hAnsi="宋体" w:hint="eastAsia"/>
          <w:sz w:val="24"/>
        </w:rPr>
        <w:t>对于银行间业务，如需发送银行间成交单或者划款指令的，基金管理人应于交易日</w:t>
      </w:r>
      <w:r>
        <w:rPr>
          <w:rFonts w:ascii="宋体" w:hAnsi="宋体"/>
          <w:sz w:val="24"/>
        </w:rPr>
        <w:t>15:00前将银行间成交单及相关划款指令发送至</w:t>
      </w:r>
      <w:r>
        <w:rPr>
          <w:rFonts w:ascii="宋体" w:hAnsi="宋体" w:hint="eastAsia"/>
          <w:sz w:val="24"/>
        </w:rPr>
        <w:t>基金托管人。基金管理人应与基金托管人确认基金托管人已完成证书和权限设置后方可进行本基金的银行间交易。</w:t>
      </w:r>
    </w:p>
    <w:p w:rsidR="00EF58AF" w:rsidRDefault="003764FD">
      <w:pPr>
        <w:spacing w:line="360" w:lineRule="auto"/>
        <w:ind w:firstLineChars="200" w:firstLine="480"/>
        <w:contextualSpacing/>
        <w:rPr>
          <w:rFonts w:ascii="宋体" w:hAnsi="宋体"/>
          <w:sz w:val="24"/>
        </w:rPr>
      </w:pPr>
      <w:r>
        <w:rPr>
          <w:rFonts w:ascii="宋体" w:hAnsi="宋体" w:hint="eastAsia"/>
          <w:sz w:val="24"/>
        </w:rPr>
        <w:t>对于指定时间出款的交易指令，基金管理人应提前</w:t>
      </w:r>
      <w:r>
        <w:rPr>
          <w:rFonts w:ascii="宋体" w:hAnsi="宋体"/>
          <w:sz w:val="24"/>
        </w:rPr>
        <w:t>2小时将指令发送至</w:t>
      </w:r>
      <w:r>
        <w:rPr>
          <w:rFonts w:ascii="宋体" w:hAnsi="宋体" w:hint="eastAsia"/>
          <w:sz w:val="24"/>
        </w:rPr>
        <w:t>基金托管人；对于基金管理人于</w:t>
      </w:r>
      <w:r>
        <w:rPr>
          <w:rFonts w:ascii="宋体" w:hAnsi="宋体"/>
          <w:sz w:val="24"/>
        </w:rPr>
        <w:t>15:00以后发送至</w:t>
      </w:r>
      <w:r>
        <w:rPr>
          <w:rFonts w:ascii="宋体" w:hAnsi="宋体" w:hint="eastAsia"/>
          <w:sz w:val="24"/>
        </w:rPr>
        <w:t>基金托管人的指令，基金托管人不保证当日出款。</w:t>
      </w:r>
    </w:p>
    <w:p w:rsidR="00EF58AF" w:rsidRDefault="003764FD">
      <w:pPr>
        <w:spacing w:line="360" w:lineRule="auto"/>
        <w:ind w:firstLineChars="200" w:firstLine="480"/>
        <w:contextualSpacing/>
        <w:rPr>
          <w:rFonts w:ascii="宋体" w:hAnsi="宋体"/>
          <w:sz w:val="24"/>
        </w:rPr>
      </w:pPr>
      <w:r>
        <w:rPr>
          <w:rFonts w:ascii="宋体" w:hAnsi="宋体"/>
          <w:sz w:val="24"/>
        </w:rPr>
        <w:t>2.指令的确认</w:t>
      </w:r>
      <w:r>
        <w:rPr>
          <w:rFonts w:ascii="宋体" w:hAnsi="宋体" w:hint="eastAsia"/>
          <w:sz w:val="24"/>
        </w:rPr>
        <w:t>：基金管理人有义务在发送指令后与基金托管人进行电话确认。对于依照“授权通知”发出的指令，基金管理人不得否认其效力。</w:t>
      </w:r>
    </w:p>
    <w:p w:rsidR="00EF58AF" w:rsidRDefault="003764FD">
      <w:pPr>
        <w:spacing w:line="360" w:lineRule="auto"/>
        <w:ind w:firstLineChars="200" w:firstLine="480"/>
        <w:contextualSpacing/>
        <w:rPr>
          <w:rFonts w:ascii="宋体" w:hAnsi="宋体"/>
          <w:sz w:val="24"/>
        </w:rPr>
      </w:pPr>
      <w:r>
        <w:rPr>
          <w:rFonts w:ascii="宋体" w:hAnsi="宋体"/>
          <w:sz w:val="24"/>
        </w:rPr>
        <w:t>3.</w:t>
      </w:r>
      <w:r>
        <w:rPr>
          <w:rFonts w:ascii="宋体" w:hAnsi="宋体" w:hint="eastAsia"/>
          <w:sz w:val="24"/>
        </w:rPr>
        <w:t>指令的执行：基金托管人确认收到基金管理人发送的指令后，应对指令进行形式审查，验证指令的要素是否齐全，传真指令还应审核印鉴和签章是否和预留印鉴和签章样本相符，指令复核无误后应在规定期限内及时执行。</w:t>
      </w:r>
    </w:p>
    <w:p w:rsidR="00EF58AF" w:rsidRDefault="003764FD">
      <w:pPr>
        <w:spacing w:line="360" w:lineRule="auto"/>
        <w:ind w:firstLineChars="200" w:firstLine="480"/>
        <w:contextualSpacing/>
        <w:rPr>
          <w:rFonts w:ascii="宋体" w:hAnsi="宋体"/>
          <w:sz w:val="24"/>
        </w:rPr>
      </w:pPr>
      <w:r>
        <w:rPr>
          <w:rFonts w:ascii="宋体" w:hAnsi="宋体" w:hint="eastAsia"/>
          <w:sz w:val="24"/>
        </w:rPr>
        <w:t>正常情况下由基金托管人依据基金管理人发出的</w:t>
      </w:r>
      <w:proofErr w:type="gramStart"/>
      <w:r>
        <w:rPr>
          <w:rFonts w:ascii="宋体" w:hAnsi="宋体" w:hint="eastAsia"/>
          <w:sz w:val="24"/>
        </w:rPr>
        <w:t>出入金</w:t>
      </w:r>
      <w:proofErr w:type="gramEnd"/>
      <w:r>
        <w:rPr>
          <w:rFonts w:ascii="宋体" w:hAnsi="宋体" w:hint="eastAsia"/>
          <w:sz w:val="24"/>
        </w:rPr>
        <w:t>指令，通过期货结算</w:t>
      </w:r>
      <w:proofErr w:type="gramStart"/>
      <w:r>
        <w:rPr>
          <w:rFonts w:ascii="宋体" w:hAnsi="宋体" w:hint="eastAsia"/>
          <w:sz w:val="24"/>
        </w:rPr>
        <w:t>银行银期转账</w:t>
      </w:r>
      <w:proofErr w:type="gramEnd"/>
      <w:r>
        <w:rPr>
          <w:rFonts w:ascii="宋体" w:hAnsi="宋体" w:hint="eastAsia"/>
          <w:sz w:val="24"/>
        </w:rPr>
        <w:t>系统进行</w:t>
      </w:r>
      <w:proofErr w:type="gramStart"/>
      <w:r>
        <w:rPr>
          <w:rFonts w:ascii="宋体" w:hAnsi="宋体" w:hint="eastAsia"/>
          <w:sz w:val="24"/>
        </w:rPr>
        <w:t>出入金</w:t>
      </w:r>
      <w:proofErr w:type="gramEnd"/>
      <w:r>
        <w:rPr>
          <w:rFonts w:ascii="宋体" w:hAnsi="宋体" w:hint="eastAsia"/>
          <w:sz w:val="24"/>
        </w:rPr>
        <w:t>操作。</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当结算</w:t>
      </w:r>
      <w:proofErr w:type="gramStart"/>
      <w:r>
        <w:rPr>
          <w:rFonts w:ascii="宋体" w:hAnsi="宋体" w:hint="eastAsia"/>
          <w:sz w:val="24"/>
        </w:rPr>
        <w:t>银行银期转账</w:t>
      </w:r>
      <w:proofErr w:type="gramEnd"/>
      <w:r>
        <w:rPr>
          <w:rFonts w:ascii="宋体" w:hAnsi="宋体" w:hint="eastAsia"/>
          <w:sz w:val="24"/>
        </w:rPr>
        <w:t>系统出现故障等其他紧急情况时，基金管理人可以使用</w:t>
      </w:r>
      <w:proofErr w:type="gramStart"/>
      <w:r>
        <w:rPr>
          <w:rFonts w:ascii="宋体" w:hAnsi="宋体" w:hint="eastAsia"/>
          <w:sz w:val="24"/>
        </w:rPr>
        <w:t>非银期转账</w:t>
      </w:r>
      <w:proofErr w:type="gramEnd"/>
      <w:r>
        <w:rPr>
          <w:rFonts w:ascii="宋体" w:hAnsi="宋体" w:hint="eastAsia"/>
          <w:sz w:val="24"/>
        </w:rPr>
        <w:t>手工出入金。</w:t>
      </w:r>
    </w:p>
    <w:p w:rsidR="00EF58AF" w:rsidRDefault="003764FD">
      <w:pPr>
        <w:autoSpaceDE w:val="0"/>
        <w:autoSpaceDN w:val="0"/>
        <w:spacing w:line="360" w:lineRule="auto"/>
        <w:ind w:firstLineChars="200" w:firstLine="480"/>
        <w:contextualSpacing/>
        <w:rPr>
          <w:rFonts w:ascii="宋体" w:hAnsi="宋体"/>
          <w:sz w:val="24"/>
        </w:rPr>
      </w:pPr>
      <w:proofErr w:type="gramStart"/>
      <w:r>
        <w:rPr>
          <w:rFonts w:ascii="宋体" w:hAnsi="宋体" w:hint="eastAsia"/>
          <w:sz w:val="24"/>
        </w:rPr>
        <w:lastRenderedPageBreak/>
        <w:t>非银期转账</w:t>
      </w:r>
      <w:proofErr w:type="gramEnd"/>
      <w:r>
        <w:rPr>
          <w:rFonts w:ascii="宋体" w:hAnsi="宋体" w:hint="eastAsia"/>
          <w:sz w:val="24"/>
        </w:rPr>
        <w:t>手工出入金，入金由基金托管人依据基金管理人提供的划款指令通过结算银行的</w:t>
      </w:r>
      <w:proofErr w:type="gramStart"/>
      <w:r>
        <w:rPr>
          <w:rFonts w:ascii="宋体" w:hAnsi="宋体" w:hint="eastAsia"/>
          <w:sz w:val="24"/>
        </w:rPr>
        <w:t>网银系统划往</w:t>
      </w:r>
      <w:proofErr w:type="gramEnd"/>
      <w:r>
        <w:rPr>
          <w:rFonts w:ascii="宋体" w:hAnsi="宋体" w:hint="eastAsia"/>
          <w:sz w:val="24"/>
        </w:rPr>
        <w:t>期货公司指定账户后，由基金管理人通知期货公司进行入金操作，出金由基金管理人通知期货公司出金后，再发送指令给基金托管人，由基金托管人依据基金管理人提供的划款指令通过结算银行的</w:t>
      </w:r>
      <w:proofErr w:type="gramStart"/>
      <w:r>
        <w:rPr>
          <w:rFonts w:ascii="宋体" w:hAnsi="宋体" w:hint="eastAsia"/>
          <w:sz w:val="24"/>
        </w:rPr>
        <w:t>网银系统划往基金</w:t>
      </w:r>
      <w:proofErr w:type="gramEnd"/>
      <w:r>
        <w:rPr>
          <w:rFonts w:ascii="宋体" w:hAnsi="宋体" w:hint="eastAsia"/>
          <w:sz w:val="24"/>
        </w:rPr>
        <w:t>托管账户。</w:t>
      </w:r>
    </w:p>
    <w:p w:rsidR="00EF58AF" w:rsidRDefault="003764FD">
      <w:pPr>
        <w:spacing w:line="360" w:lineRule="auto"/>
        <w:ind w:firstLineChars="200" w:firstLine="480"/>
        <w:contextualSpacing/>
        <w:rPr>
          <w:rFonts w:ascii="宋体" w:hAnsi="宋体"/>
          <w:sz w:val="24"/>
        </w:rPr>
      </w:pPr>
      <w:r>
        <w:rPr>
          <w:rFonts w:ascii="宋体" w:hAnsi="宋体" w:hint="eastAsia"/>
          <w:sz w:val="24"/>
        </w:rPr>
        <w:t>执行完期货出金或入金的操作后，基金管理人应通过其交易系统或终端系统查询出金划出情况和入金到账情况。</w:t>
      </w:r>
    </w:p>
    <w:p w:rsidR="00EF58AF" w:rsidRDefault="003764FD">
      <w:pPr>
        <w:spacing w:line="360" w:lineRule="auto"/>
        <w:ind w:firstLineChars="200" w:firstLine="480"/>
        <w:contextualSpacing/>
        <w:rPr>
          <w:rFonts w:ascii="宋体" w:hAnsi="宋体"/>
          <w:sz w:val="24"/>
        </w:rPr>
      </w:pPr>
      <w:r>
        <w:rPr>
          <w:rFonts w:ascii="宋体" w:hAnsi="宋体" w:hint="eastAsia"/>
          <w:sz w:val="24"/>
        </w:rPr>
        <w:t>在指令未执行的前提下，</w:t>
      </w:r>
      <w:proofErr w:type="gramStart"/>
      <w:r>
        <w:rPr>
          <w:rFonts w:ascii="宋体" w:hAnsi="宋体" w:hint="eastAsia"/>
          <w:sz w:val="24"/>
        </w:rPr>
        <w:t>若基金</w:t>
      </w:r>
      <w:proofErr w:type="gramEnd"/>
      <w:r>
        <w:rPr>
          <w:rFonts w:ascii="宋体" w:hAnsi="宋体" w:hint="eastAsia"/>
          <w:sz w:val="24"/>
        </w:rPr>
        <w:t>管理人撤销指令，基金管理人应在原指令上注明“作废”、</w:t>
      </w:r>
      <w:r>
        <w:rPr>
          <w:rFonts w:ascii="宋体" w:hAnsi="宋体"/>
          <w:sz w:val="24"/>
        </w:rPr>
        <w:t>“废”等字样</w:t>
      </w:r>
      <w:r>
        <w:rPr>
          <w:rFonts w:ascii="宋体" w:hAnsi="宋体" w:hint="eastAsia"/>
          <w:sz w:val="24"/>
        </w:rPr>
        <w:t>并加盖预留印鉴及被授权人签章后传真给基金托管人，并电话通知基金托管人。</w:t>
      </w:r>
    </w:p>
    <w:p w:rsidR="00EF58AF" w:rsidRDefault="003764FD">
      <w:pPr>
        <w:pStyle w:val="a7"/>
        <w:adjustRightInd/>
        <w:snapToGrid/>
        <w:spacing w:line="360" w:lineRule="auto"/>
        <w:contextualSpacing/>
        <w:rPr>
          <w:rFonts w:ascii="宋体" w:eastAsia="宋体" w:hAnsi="宋体"/>
        </w:rPr>
      </w:pPr>
      <w:r>
        <w:rPr>
          <w:rFonts w:ascii="宋体" w:eastAsia="宋体" w:hAnsi="宋体" w:hint="eastAsia"/>
        </w:rPr>
        <w:t>（四）基金管理人发送错误指令的情形和处理程序</w:t>
      </w:r>
    </w:p>
    <w:p w:rsidR="00EF58AF" w:rsidRDefault="003764FD">
      <w:pPr>
        <w:spacing w:line="360" w:lineRule="auto"/>
        <w:ind w:firstLineChars="200" w:firstLine="480"/>
        <w:contextualSpacing/>
        <w:rPr>
          <w:rFonts w:ascii="宋体" w:hAnsi="宋体"/>
          <w:sz w:val="24"/>
        </w:rPr>
      </w:pPr>
      <w:r>
        <w:rPr>
          <w:rFonts w:ascii="宋体" w:hAnsi="宋体"/>
          <w:sz w:val="24"/>
        </w:rPr>
        <w:t>1</w:t>
      </w:r>
      <w:r>
        <w:rPr>
          <w:rFonts w:ascii="宋体" w:hAnsi="宋体" w:hint="eastAsia"/>
          <w:sz w:val="24"/>
        </w:rPr>
        <w:t>.基金管理人发送错误指令的情形包括指令发送人员无权或超越权限发送指令，指令不能辨识或要素不全导致无法执行等情形。</w:t>
      </w:r>
    </w:p>
    <w:p w:rsidR="00EF58AF" w:rsidRDefault="003764FD">
      <w:pPr>
        <w:spacing w:line="360" w:lineRule="auto"/>
        <w:ind w:firstLineChars="200" w:firstLine="480"/>
        <w:contextualSpacing/>
        <w:rPr>
          <w:rFonts w:ascii="宋体" w:hAnsi="宋体"/>
          <w:sz w:val="24"/>
        </w:rPr>
      </w:pPr>
      <w:r>
        <w:rPr>
          <w:rFonts w:ascii="宋体" w:hAnsi="宋体"/>
          <w:sz w:val="24"/>
        </w:rPr>
        <w:t>2</w:t>
      </w:r>
      <w:r>
        <w:rPr>
          <w:rFonts w:ascii="宋体" w:hAnsi="宋体" w:hint="eastAsia"/>
          <w:sz w:val="24"/>
        </w:rPr>
        <w:t>.</w:t>
      </w:r>
      <w:r>
        <w:rPr>
          <w:rFonts w:ascii="宋体" w:hAnsi="宋体"/>
          <w:sz w:val="24"/>
        </w:rPr>
        <w:t>当</w:t>
      </w:r>
      <w:r>
        <w:rPr>
          <w:rFonts w:ascii="宋体" w:hAnsi="宋体" w:hint="eastAsia"/>
          <w:sz w:val="24"/>
        </w:rPr>
        <w:t>基金托管人认为所接受指令为错误指令时，应及时与基金管理人进行电话确认，暂停指令的执行并要求基金管理人重新发送指令。基金托管人有权要求基金管理人提供相关交易凭证、合同或其他有效会计资料，以确保基金托管人有足够的资料来判断指令的有效性。基金托管人待收齐相关资料并判断指令有效后重新开始执行指令。基金管理人应在合理时间内补充相关资料，并给基金托管人预留必要的执行时间，否则基金托管人对因此造成的延误不承担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（五）基金托管人依照法律法规暂缓、拒绝执行指令的情形和处理程序</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发现基金管理人发送的指令有可能违反《基金法》、《运作办法》、《基金合同》、本协议或其他有关法律法规的规定时，应暂缓执行指令，并及时通知基金管理人，基金管理人收到通知后应及时核对并纠正；如相关交易已生效，则应通知基金管理人在</w:t>
      </w:r>
      <w:r>
        <w:rPr>
          <w:rFonts w:ascii="宋体" w:hAnsi="宋体"/>
          <w:sz w:val="24"/>
        </w:rPr>
        <w:t>10个工作日内纠正，并报告中国证监会</w:t>
      </w:r>
      <w:r>
        <w:rPr>
          <w:rFonts w:ascii="宋体" w:hAnsi="宋体" w:hint="eastAsia"/>
          <w:sz w:val="24"/>
        </w:rPr>
        <w:t>。对于基金托管人事前难以监督的交易行为，基金托管人在事后履行了对基金管理人的通知以及向中国证监会的报告义务后，即视为完全履行了其投资监督职责。对于基金管理人违反《基金法》、《运作办法》、《基金合同》、本协议或其他有关法律法规的规定造成基金财产损失的，由基金管理人承担全部责任，基金托管人免于承担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（六）基金托管人未按照基金管理人指令执行的处理方法</w:t>
      </w:r>
    </w:p>
    <w:p w:rsidR="00EF58AF" w:rsidRDefault="003764FD">
      <w:pPr>
        <w:spacing w:line="360" w:lineRule="auto"/>
        <w:ind w:firstLineChars="200" w:firstLine="480"/>
        <w:contextualSpacing/>
        <w:rPr>
          <w:rFonts w:ascii="宋体" w:hAnsi="宋体"/>
          <w:sz w:val="24"/>
        </w:rPr>
      </w:pPr>
      <w:r>
        <w:rPr>
          <w:rFonts w:ascii="宋体" w:hAnsi="宋体" w:hint="eastAsia"/>
          <w:sz w:val="24"/>
        </w:rPr>
        <w:lastRenderedPageBreak/>
        <w:t>对于基金管理人的有效指令和通知，除非违反法律法规、基金合同、托管协议或具有第（四）项所述错误</w:t>
      </w:r>
      <w:r>
        <w:rPr>
          <w:rFonts w:ascii="宋体" w:hAnsi="宋体"/>
          <w:sz w:val="24"/>
        </w:rPr>
        <w:t xml:space="preserve"> </w:t>
      </w:r>
      <w:r>
        <w:rPr>
          <w:rFonts w:ascii="宋体" w:hAnsi="宋体" w:hint="eastAsia"/>
          <w:sz w:val="24"/>
        </w:rPr>
        <w:t>，基金托管人不得无故拒绝或拖延执行，否则应就基金或基金管理人由此产生的损失负赔偿责任。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除因故意或过失致使基金、基金管理人的利益受到损害而负赔偿责任外，基金托管人对执行基金管理人的合法指令对基金财产造成的损失不承担赔偿责任。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（七）更换被授权人员的程序</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基金管理人撤换被授权人员或改变被授权人员的权限，必须提前至少一个交易日，使用传真方式或其他基金管理人和基金托管人认可的方式向基金托管人发出加盖基金管理人公司公章的书面变更通知，同时电话通知基金托管人。被授权人变更通知，经基金管理人与基金托管人以电话方式或其他基金管理人和基金托管人认可的方式确认后，于授权通知载明的生效时间生效，同时原授权通知失效。基金管理人在此后三个工作日内将被授权人变更通知的正本送交基金托管人。变更通知书书面正本内容与基金托管人收到的传真不一致的，以基金托管人收到的传真为准。</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基金托管人更换接收基金管理人指令的人员，应提前通知基金管理人。</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（八）指令的保管</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指令若以传真形式发出，则正本由基金管理人保管，基金托管人保管指令传真件。当两者不一致时，以基金托管人收到的指令传真件为准。</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（九）相关责任</w:t>
      </w:r>
    </w:p>
    <w:p w:rsidR="00EF58AF" w:rsidRDefault="003764FD">
      <w:pPr>
        <w:autoSpaceDE w:val="0"/>
        <w:autoSpaceDN w:val="0"/>
        <w:spacing w:line="360" w:lineRule="auto"/>
        <w:ind w:firstLineChars="200" w:firstLine="480"/>
        <w:contextualSpacing/>
        <w:rPr>
          <w:rFonts w:ascii="宋体" w:hAnsi="宋体"/>
          <w:sz w:val="24"/>
        </w:rPr>
      </w:pPr>
      <w:r>
        <w:rPr>
          <w:rFonts w:ascii="宋体" w:hAnsi="宋体" w:hint="eastAsia"/>
          <w:sz w:val="24"/>
        </w:rPr>
        <w:t>对基金管理人在没有充足资金的情况下向基金托管人发出的指令致使资金未能及时清算所造成的损失由基金管理人承担。因基金管理</w:t>
      </w:r>
      <w:proofErr w:type="gramStart"/>
      <w:r>
        <w:rPr>
          <w:rFonts w:ascii="宋体" w:hAnsi="宋体" w:hint="eastAsia"/>
          <w:sz w:val="24"/>
        </w:rPr>
        <w:t>人原因</w:t>
      </w:r>
      <w:proofErr w:type="gramEnd"/>
      <w:r>
        <w:rPr>
          <w:rFonts w:ascii="宋体" w:hAnsi="宋体" w:hint="eastAsia"/>
          <w:sz w:val="24"/>
        </w:rPr>
        <w:t>造成的传输不及时、未能留出足够执行时间、未能及时与基金托管人进行指令确认致使资金未能及时清算或交易失败所造成的损失由基金管理人承担。基金托管人正确执行基金管理人发送的有效指令，基金财产发生损失的，基金托管人不承担任何形式的责任。在正常业务受理渠道和指令规定的时间内，因基金托管</w:t>
      </w:r>
      <w:proofErr w:type="gramStart"/>
      <w:r>
        <w:rPr>
          <w:rFonts w:ascii="宋体" w:hAnsi="宋体" w:hint="eastAsia"/>
          <w:sz w:val="24"/>
        </w:rPr>
        <w:t>人原因</w:t>
      </w:r>
      <w:proofErr w:type="gramEnd"/>
      <w:r>
        <w:rPr>
          <w:rFonts w:ascii="宋体" w:hAnsi="宋体" w:hint="eastAsia"/>
          <w:sz w:val="24"/>
        </w:rPr>
        <w:t>造成未能及时或正确执行合法合</w:t>
      </w:r>
      <w:proofErr w:type="gramStart"/>
      <w:r>
        <w:rPr>
          <w:rFonts w:ascii="宋体" w:hAnsi="宋体" w:hint="eastAsia"/>
          <w:sz w:val="24"/>
        </w:rPr>
        <w:t>规</w:t>
      </w:r>
      <w:proofErr w:type="gramEnd"/>
      <w:r>
        <w:rPr>
          <w:rFonts w:ascii="宋体" w:hAnsi="宋体" w:hint="eastAsia"/>
          <w:sz w:val="24"/>
        </w:rPr>
        <w:t>的指令而导致基金财产受损的，基金托管人应承担相应的责任，但如遇到不可抗力的情况除外。</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基金托管人根据本协议相关规定履行形式审核职责，如果基金管理人的指令存在事实上未经授权、欺诈、伪造或未能及时提供授权通知等情形，基金托管人不</w:t>
      </w:r>
      <w:r>
        <w:rPr>
          <w:rFonts w:ascii="宋体" w:hAnsi="宋体" w:hint="eastAsia"/>
          <w:sz w:val="24"/>
        </w:rPr>
        <w:lastRenderedPageBreak/>
        <w:t>承担因执行有关指令或拒绝执行有关指令而给基金管理人或基金资产或任何第三</w:t>
      </w:r>
      <w:proofErr w:type="gramStart"/>
      <w:r>
        <w:rPr>
          <w:rFonts w:ascii="宋体" w:hAnsi="宋体" w:hint="eastAsia"/>
          <w:sz w:val="24"/>
        </w:rPr>
        <w:t>方带来</w:t>
      </w:r>
      <w:proofErr w:type="gramEnd"/>
      <w:r>
        <w:rPr>
          <w:rFonts w:ascii="宋体" w:hAnsi="宋体" w:hint="eastAsia"/>
          <w:sz w:val="24"/>
        </w:rPr>
        <w:t>的损失，全部责任由基金管理人承担，但基金托管人未按合同约定</w:t>
      </w:r>
      <w:proofErr w:type="gramStart"/>
      <w:r>
        <w:rPr>
          <w:rFonts w:ascii="宋体" w:hAnsi="宋体" w:hint="eastAsia"/>
          <w:sz w:val="24"/>
        </w:rPr>
        <w:t>尽形式</w:t>
      </w:r>
      <w:proofErr w:type="gramEnd"/>
      <w:r>
        <w:rPr>
          <w:rFonts w:ascii="宋体" w:hAnsi="宋体" w:hint="eastAsia"/>
          <w:sz w:val="24"/>
        </w:rPr>
        <w:t>审核义务执行指令而造成损失的情形除外。</w:t>
      </w:r>
    </w:p>
    <w:bookmarkEnd w:id="98"/>
    <w:p w:rsidR="00EF58AF" w:rsidRDefault="00EF58AF">
      <w:pPr>
        <w:spacing w:line="360" w:lineRule="auto"/>
        <w:ind w:firstLineChars="200" w:firstLine="480"/>
        <w:contextualSpacing/>
        <w:rPr>
          <w:rFonts w:ascii="宋体" w:hAnsi="宋体"/>
          <w:sz w:val="24"/>
        </w:rPr>
        <w:sectPr w:rsidR="00EF58AF">
          <w:footerReference w:type="default" r:id="rId59"/>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00" w:name="_Toc120435786"/>
      <w:bookmarkStart w:id="101" w:name="_Toc118972651"/>
      <w:bookmarkStart w:id="102" w:name="_Toc89163371"/>
      <w:bookmarkStart w:id="103" w:name="_Toc86204791"/>
      <w:bookmarkStart w:id="104" w:name="_Toc86737932"/>
      <w:bookmarkStart w:id="105" w:name="_Toc118774806"/>
      <w:bookmarkStart w:id="106" w:name="_Toc348082035"/>
      <w:bookmarkStart w:id="107" w:name="_Toc86727358"/>
      <w:bookmarkStart w:id="108" w:name="_Toc3276854"/>
      <w:bookmarkStart w:id="109" w:name="_Toc110765663"/>
      <w:bookmarkStart w:id="110" w:name="_Toc118212953"/>
      <w:bookmarkStart w:id="111" w:name="_Toc119402713"/>
      <w:bookmarkStart w:id="112" w:name="_Toc384992697"/>
      <w:bookmarkStart w:id="113" w:name="_Toc86726442"/>
      <w:bookmarkStart w:id="114" w:name="_Toc110761799"/>
      <w:bookmarkStart w:id="115" w:name="_Toc110830495"/>
      <w:bookmarkStart w:id="116" w:name="_Toc84234437"/>
      <w:bookmarkStart w:id="117" w:name="_Toc86649725"/>
      <w:bookmarkStart w:id="118" w:name="_Toc86223245"/>
      <w:bookmarkStart w:id="119" w:name="_Toc84234390"/>
      <w:bookmarkStart w:id="120" w:name="_Toc86225294"/>
      <w:bookmarkStart w:id="121" w:name="_Toc84133788"/>
      <w:bookmarkStart w:id="122" w:name="_Toc108512361"/>
      <w:bookmarkStart w:id="123" w:name="CLAUSE_051bfcee3a0d41e3adef2ce664b42c36"/>
      <w:r>
        <w:rPr>
          <w:rFonts w:ascii="宋体" w:eastAsia="宋体" w:hAnsi="宋体"/>
        </w:rPr>
        <w:lastRenderedPageBreak/>
        <w:t xml:space="preserve"> </w:t>
      </w:r>
      <w:bookmarkStart w:id="124" w:name="CTS_051bfcee3a0d41e3adef2ce664b42c36"/>
      <w:bookmarkEnd w:id="124"/>
      <w:r>
        <w:rPr>
          <w:rFonts w:ascii="宋体" w:eastAsia="宋体" w:hAnsi="宋体" w:hint="eastAsia"/>
        </w:rPr>
        <w:t>交易及清算交收安排</w:t>
      </w:r>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rsidR="00EF58AF" w:rsidRDefault="003764FD">
      <w:pPr>
        <w:spacing w:line="360" w:lineRule="auto"/>
        <w:ind w:firstLineChars="200" w:firstLine="480"/>
        <w:contextualSpacing/>
        <w:rPr>
          <w:rFonts w:ascii="宋体" w:hAnsi="宋体"/>
          <w:sz w:val="24"/>
        </w:rPr>
      </w:pPr>
      <w:r>
        <w:rPr>
          <w:rFonts w:ascii="宋体" w:hAnsi="宋体" w:hint="eastAsia"/>
          <w:sz w:val="24"/>
        </w:rPr>
        <w:t>（一）选择代理证券、期货买卖的证券、期货经营机构</w:t>
      </w:r>
    </w:p>
    <w:p w:rsidR="00EF58AF" w:rsidRDefault="003764FD">
      <w:pPr>
        <w:spacing w:line="360" w:lineRule="auto"/>
        <w:ind w:firstLineChars="200" w:firstLine="480"/>
        <w:contextualSpacing/>
        <w:rPr>
          <w:rFonts w:ascii="宋体" w:hAnsi="宋体"/>
          <w:sz w:val="24"/>
        </w:rPr>
      </w:pPr>
      <w:r>
        <w:rPr>
          <w:rFonts w:ascii="宋体" w:hAnsi="宋体"/>
          <w:sz w:val="24"/>
        </w:rPr>
        <w:t>1</w:t>
      </w:r>
      <w:r>
        <w:rPr>
          <w:rFonts w:ascii="宋体" w:hAnsi="宋体" w:hint="eastAsia"/>
          <w:sz w:val="24"/>
        </w:rPr>
        <w:t>.基金管理人</w:t>
      </w:r>
      <w:r>
        <w:rPr>
          <w:rFonts w:ascii="宋体" w:hAnsi="宋体" w:cs="Arial" w:hint="eastAsia"/>
          <w:sz w:val="24"/>
        </w:rPr>
        <w:t>应制</w:t>
      </w:r>
      <w:proofErr w:type="gramStart"/>
      <w:r>
        <w:rPr>
          <w:rFonts w:ascii="宋体" w:hAnsi="宋体" w:cs="Arial" w:hint="eastAsia"/>
          <w:sz w:val="24"/>
        </w:rPr>
        <w:t>定</w:t>
      </w:r>
      <w:r>
        <w:rPr>
          <w:rFonts w:ascii="宋体" w:hAnsi="宋体" w:hint="eastAsia"/>
          <w:sz w:val="24"/>
        </w:rPr>
        <w:t>选择</w:t>
      </w:r>
      <w:proofErr w:type="gramEnd"/>
      <w:r>
        <w:rPr>
          <w:rFonts w:ascii="宋体" w:hAnsi="宋体" w:hint="eastAsia"/>
          <w:sz w:val="24"/>
        </w:rPr>
        <w:t>的标准和程序，并负责</w:t>
      </w:r>
      <w:r>
        <w:rPr>
          <w:rFonts w:ascii="宋体" w:hAnsi="宋体" w:cs="Arial" w:hint="eastAsia"/>
          <w:sz w:val="24"/>
        </w:rPr>
        <w:t>根据相关标准以及内部管理制度对有关证券经营机构进行考察后确定</w:t>
      </w:r>
      <w:r>
        <w:rPr>
          <w:rFonts w:ascii="宋体" w:hAnsi="宋体" w:hint="eastAsia"/>
          <w:sz w:val="24"/>
        </w:rPr>
        <w:t>代理本基金证券买卖证券经营机构，</w:t>
      </w:r>
      <w:r>
        <w:rPr>
          <w:rFonts w:ascii="宋体" w:hAnsi="宋体" w:cs="Arial" w:hint="eastAsia"/>
          <w:sz w:val="24"/>
        </w:rPr>
        <w:t>并承担相应责任。</w:t>
      </w:r>
      <w:r>
        <w:rPr>
          <w:rFonts w:ascii="宋体" w:hAnsi="宋体" w:hint="eastAsia"/>
          <w:sz w:val="24"/>
        </w:rPr>
        <w:t>基金管理人和被</w:t>
      </w:r>
      <w:r>
        <w:rPr>
          <w:rFonts w:ascii="宋体" w:hAnsi="宋体" w:cs="Arial" w:hint="eastAsia"/>
          <w:sz w:val="24"/>
        </w:rPr>
        <w:t>选择</w:t>
      </w:r>
      <w:r>
        <w:rPr>
          <w:rFonts w:ascii="宋体" w:hAnsi="宋体" w:hint="eastAsia"/>
          <w:sz w:val="24"/>
        </w:rPr>
        <w:t>的证券经营机构签订</w:t>
      </w:r>
      <w:r>
        <w:rPr>
          <w:rFonts w:ascii="宋体" w:hAnsi="宋体" w:cs="Arial" w:hint="eastAsia"/>
          <w:sz w:val="24"/>
        </w:rPr>
        <w:t>证券经纪合同或其他约定的形式，由</w:t>
      </w:r>
      <w:r>
        <w:rPr>
          <w:rFonts w:ascii="宋体" w:hAnsi="宋体" w:hint="eastAsia"/>
          <w:sz w:val="24"/>
        </w:rPr>
        <w:t>基金管理人通知基金托管人，并</w:t>
      </w:r>
      <w:r>
        <w:rPr>
          <w:rFonts w:ascii="宋体" w:hAnsi="宋体" w:cs="Arial" w:hint="eastAsia"/>
          <w:sz w:val="24"/>
        </w:rPr>
        <w:t>按法律法规</w:t>
      </w:r>
      <w:r>
        <w:rPr>
          <w:rFonts w:ascii="宋体" w:hAnsi="宋体" w:cs="Arial"/>
          <w:sz w:val="24"/>
        </w:rPr>
        <w:t>要求</w:t>
      </w:r>
      <w:r>
        <w:rPr>
          <w:rFonts w:ascii="宋体" w:hAnsi="宋体" w:cs="Arial" w:hint="eastAsia"/>
          <w:sz w:val="24"/>
        </w:rPr>
        <w:t>在法定信息披露报告中披露有关内容。</w:t>
      </w:r>
      <w:r>
        <w:rPr>
          <w:rFonts w:ascii="宋体" w:hAnsi="宋体" w:hint="eastAsia"/>
          <w:sz w:val="24"/>
        </w:rPr>
        <w:t>基金管理人</w:t>
      </w:r>
      <w:r>
        <w:rPr>
          <w:rFonts w:ascii="宋体" w:hAnsi="宋体" w:cs="Arial" w:hint="eastAsia"/>
          <w:sz w:val="24"/>
        </w:rPr>
        <w:t>、</w:t>
      </w:r>
      <w:r>
        <w:rPr>
          <w:rFonts w:ascii="宋体" w:hAnsi="宋体" w:hint="eastAsia"/>
          <w:sz w:val="24"/>
        </w:rPr>
        <w:t>基金托管</w:t>
      </w:r>
      <w:r>
        <w:rPr>
          <w:rFonts w:ascii="宋体" w:hAnsi="宋体" w:cs="Arial" w:hint="eastAsia"/>
          <w:sz w:val="24"/>
        </w:rPr>
        <w:t>人和</w:t>
      </w:r>
      <w:r>
        <w:rPr>
          <w:rFonts w:ascii="宋体" w:hAnsi="宋体" w:hint="eastAsia"/>
          <w:sz w:val="24"/>
        </w:rPr>
        <w:t>证券</w:t>
      </w:r>
      <w:r>
        <w:rPr>
          <w:rFonts w:ascii="宋体" w:hAnsi="宋体" w:cs="Arial" w:hint="eastAsia"/>
          <w:sz w:val="24"/>
        </w:rPr>
        <w:t>经纪</w:t>
      </w:r>
      <w:r>
        <w:rPr>
          <w:rFonts w:ascii="宋体" w:hAnsi="宋体" w:hint="eastAsia"/>
          <w:sz w:val="24"/>
        </w:rPr>
        <w:t>机构</w:t>
      </w:r>
      <w:r>
        <w:rPr>
          <w:rFonts w:ascii="宋体" w:hAnsi="宋体" w:cs="Arial" w:hint="eastAsia"/>
          <w:sz w:val="24"/>
        </w:rPr>
        <w:t>可就本</w:t>
      </w:r>
      <w:r>
        <w:rPr>
          <w:rFonts w:ascii="宋体" w:hAnsi="宋体" w:hint="eastAsia"/>
          <w:sz w:val="24"/>
        </w:rPr>
        <w:t>基金</w:t>
      </w:r>
      <w:r>
        <w:rPr>
          <w:rFonts w:ascii="宋体" w:hAnsi="宋体" w:cs="Arial" w:hint="eastAsia"/>
          <w:sz w:val="24"/>
        </w:rPr>
        <w:t>参与</w:t>
      </w:r>
      <w:r>
        <w:rPr>
          <w:rFonts w:ascii="宋体" w:hAnsi="宋体" w:hint="eastAsia"/>
          <w:sz w:val="24"/>
        </w:rPr>
        <w:t>证券</w:t>
      </w:r>
      <w:r>
        <w:rPr>
          <w:rFonts w:ascii="宋体" w:hAnsi="宋体" w:cs="Arial" w:hint="eastAsia"/>
          <w:sz w:val="24"/>
        </w:rPr>
        <w:t>交易的具体事项另行签订</w:t>
      </w:r>
      <w:r>
        <w:rPr>
          <w:rFonts w:ascii="宋体" w:hAnsi="宋体" w:hint="eastAsia"/>
          <w:sz w:val="24"/>
        </w:rPr>
        <w:t>证券</w:t>
      </w:r>
      <w:r>
        <w:rPr>
          <w:rFonts w:ascii="宋体" w:hAnsi="宋体" w:cs="Arial" w:hint="eastAsia"/>
          <w:sz w:val="24"/>
        </w:rPr>
        <w:t>经纪服务协议</w:t>
      </w:r>
      <w:r>
        <w:rPr>
          <w:rFonts w:ascii="宋体" w:hAnsi="宋体" w:hint="eastAsia"/>
          <w:sz w:val="24"/>
        </w:rPr>
        <w:t>。</w:t>
      </w:r>
    </w:p>
    <w:p w:rsidR="00EF58AF" w:rsidRDefault="003764FD">
      <w:pPr>
        <w:spacing w:line="360" w:lineRule="auto"/>
        <w:ind w:firstLineChars="200" w:firstLine="480"/>
        <w:contextualSpacing/>
        <w:rPr>
          <w:rFonts w:ascii="宋体" w:hAnsi="宋体"/>
          <w:sz w:val="24"/>
        </w:rPr>
      </w:pPr>
      <w:r>
        <w:rPr>
          <w:rFonts w:ascii="宋体" w:hAnsi="宋体"/>
          <w:sz w:val="24"/>
        </w:rPr>
        <w:t>2</w:t>
      </w:r>
      <w:r>
        <w:rPr>
          <w:rFonts w:ascii="宋体" w:hAnsi="宋体" w:hint="eastAsia"/>
          <w:sz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基金管理人所选择的期货公司负责办理委托资产的期货交易的清算交割。</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基金管理人应责成其选择的期货公司通过深证通向基金托管人及基金管理人发送以市场监控中心格式显示本基金成交结果的交易结算报告及参照市场监控中心格式制作的显示本基金期货保证金账户权益状况的交易结算报告。经基金托管人同意，可采用电子邮件的传送方式作为应急备份方式传输当日交易结算数据。</w:t>
      </w:r>
    </w:p>
    <w:p w:rsidR="00EF58AF" w:rsidRDefault="003764FD">
      <w:pPr>
        <w:spacing w:line="360" w:lineRule="auto"/>
        <w:ind w:firstLineChars="200" w:firstLine="480"/>
        <w:contextualSpacing/>
        <w:rPr>
          <w:rFonts w:ascii="宋体" w:hAnsi="宋体"/>
          <w:sz w:val="24"/>
        </w:rPr>
      </w:pPr>
      <w:r>
        <w:rPr>
          <w:rFonts w:ascii="宋体" w:hAnsi="宋体" w:hint="eastAsia"/>
          <w:sz w:val="24"/>
        </w:rPr>
        <w:t>正常情况下当日交易结算报告的发送时间应在交易日当日的</w:t>
      </w:r>
      <w:r>
        <w:rPr>
          <w:rFonts w:ascii="宋体" w:hAnsi="宋体"/>
          <w:sz w:val="24"/>
        </w:rPr>
        <w:t>17：00之前。因交易所原因而造成数据延迟发送的，基金管理人应及时通知基金托管人，并在恢复后告知期货公司立即发送至基金托管人，并电话确认数据接收状况。</w:t>
      </w:r>
      <w:r>
        <w:rPr>
          <w:rFonts w:ascii="宋体" w:hAnsi="宋体" w:hint="eastAsia"/>
          <w:sz w:val="24"/>
        </w:rPr>
        <w:t>若期货公司发送的期货数据有误，重新向基金管理人、基金托管人发送的，基金管理人应责成期货公司在发送新的期货数据后立即通知基金托管人，并电话确认数据接收状况。</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基金管理人应责成其选择的期货公司对发送的数据的准确性、完整性、真实性负责。</w:t>
      </w:r>
    </w:p>
    <w:p w:rsidR="00EF58AF" w:rsidRDefault="003764FD">
      <w:pPr>
        <w:spacing w:line="360" w:lineRule="auto"/>
        <w:ind w:firstLineChars="200" w:firstLine="480"/>
        <w:contextualSpacing/>
        <w:rPr>
          <w:rFonts w:ascii="宋体" w:hAnsi="宋体"/>
          <w:sz w:val="24"/>
        </w:rPr>
      </w:pPr>
      <w:r>
        <w:rPr>
          <w:rFonts w:ascii="宋体" w:hAnsi="宋体" w:hint="eastAsia"/>
          <w:sz w:val="24"/>
        </w:rPr>
        <w:t>由于交易结算报告的记载事项出现与实际交易结果和权益不符造成本基金估值计算错误的，应由基金管理人负责向数据发送方追偿，基金托管人不承担责任。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（二）基金投资证券后的清算交收安排</w:t>
      </w:r>
    </w:p>
    <w:p w:rsidR="00EF58AF" w:rsidRDefault="003764FD">
      <w:pPr>
        <w:spacing w:line="360" w:lineRule="auto"/>
        <w:ind w:firstLineChars="200" w:firstLine="480"/>
        <w:contextualSpacing/>
        <w:rPr>
          <w:rFonts w:ascii="宋体" w:hAnsi="宋体" w:cs="Tahoma"/>
          <w:color w:val="000000"/>
          <w:sz w:val="24"/>
        </w:rPr>
      </w:pPr>
      <w:r>
        <w:rPr>
          <w:rFonts w:ascii="宋体" w:hAnsi="宋体" w:cs="Tahoma" w:hint="eastAsia"/>
          <w:color w:val="000000"/>
          <w:sz w:val="24"/>
        </w:rPr>
        <w:t>本基金通过证券经纪机构进行的交易由证券经纪机构作为结算参与人代理本</w:t>
      </w:r>
      <w:r>
        <w:rPr>
          <w:rFonts w:ascii="宋体" w:hAnsi="宋体" w:cs="Tahoma" w:hint="eastAsia"/>
          <w:color w:val="000000"/>
          <w:sz w:val="24"/>
        </w:rPr>
        <w:lastRenderedPageBreak/>
        <w:t>基金进行结算；本基金通过期货经纪机构进行的交易由期货经纪机构作为结算参与人代理本基金进行结算；本基金其他证券交易由基金托管人或相关机构负责结算。基金管理人、基金托管人以及被选择的证券经纪机构应根据有关法律法规及相关业务规则，签订证券</w:t>
      </w:r>
      <w:r>
        <w:rPr>
          <w:rFonts w:ascii="宋体" w:hAnsi="宋体" w:cs="Tahoma"/>
          <w:color w:val="000000"/>
          <w:sz w:val="24"/>
        </w:rPr>
        <w:t>经纪服务</w:t>
      </w:r>
      <w:r>
        <w:rPr>
          <w:rFonts w:ascii="宋体" w:hAnsi="宋体" w:cs="Tahoma" w:hint="eastAsia"/>
          <w:color w:val="000000"/>
          <w:sz w:val="24"/>
        </w:rPr>
        <w:t>协议，用以具体明确三方在证券交易资金结算业务中的责任。</w:t>
      </w:r>
      <w:r>
        <w:rPr>
          <w:rFonts w:ascii="宋体" w:hAnsi="宋体" w:cs="Tahoma"/>
          <w:color w:val="000000"/>
          <w:sz w:val="24"/>
        </w:rPr>
        <w:t xml:space="preserve"> </w:t>
      </w:r>
    </w:p>
    <w:p w:rsidR="00EF58AF" w:rsidRDefault="003764FD">
      <w:pPr>
        <w:spacing w:line="360" w:lineRule="auto"/>
        <w:ind w:firstLineChars="200" w:firstLine="480"/>
        <w:contextualSpacing/>
        <w:rPr>
          <w:rFonts w:ascii="宋体" w:hAnsi="宋体" w:cs="Tahoma"/>
          <w:color w:val="000000"/>
          <w:sz w:val="24"/>
        </w:rPr>
      </w:pPr>
      <w:r>
        <w:rPr>
          <w:rFonts w:ascii="宋体" w:hAnsi="宋体" w:cs="Tahoma" w:hint="eastAsia"/>
          <w:color w:val="000000"/>
          <w:sz w:val="24"/>
        </w:rPr>
        <w:t>对基金管理人的资金划拨指令，基金托管人在复核无误后应在规定期限内执行不得延误。</w:t>
      </w:r>
      <w:r>
        <w:rPr>
          <w:rFonts w:ascii="宋体" w:hAnsi="宋体" w:cs="Tahoma"/>
          <w:color w:val="000000"/>
          <w:sz w:val="24"/>
        </w:rPr>
        <w:t xml:space="preserve"> </w:t>
      </w:r>
    </w:p>
    <w:p w:rsidR="00EF58AF" w:rsidRDefault="003764FD">
      <w:pPr>
        <w:spacing w:line="360" w:lineRule="auto"/>
        <w:ind w:firstLineChars="200" w:firstLine="480"/>
        <w:contextualSpacing/>
        <w:rPr>
          <w:rFonts w:ascii="宋体" w:hAnsi="宋体" w:cs="Tahoma"/>
          <w:color w:val="000000"/>
          <w:sz w:val="24"/>
        </w:rPr>
      </w:pPr>
      <w:r>
        <w:rPr>
          <w:rFonts w:ascii="宋体" w:hAnsi="宋体" w:cs="Tahoma" w:hint="eastAsia"/>
          <w:color w:val="000000"/>
          <w:sz w:val="24"/>
        </w:rPr>
        <w:t>本基金投资于证券发生的所有场外交易的资金汇划，由基金托管人负责办理。</w:t>
      </w:r>
      <w:r>
        <w:rPr>
          <w:rFonts w:ascii="宋体" w:hAnsi="宋体" w:cs="Tahoma"/>
          <w:color w:val="000000"/>
          <w:sz w:val="24"/>
        </w:rPr>
        <w:t xml:space="preserve"> </w:t>
      </w:r>
    </w:p>
    <w:p w:rsidR="00EF58AF" w:rsidRDefault="003764FD">
      <w:pPr>
        <w:spacing w:line="360" w:lineRule="auto"/>
        <w:ind w:firstLineChars="200" w:firstLine="480"/>
        <w:contextualSpacing/>
        <w:rPr>
          <w:rFonts w:ascii="宋体" w:hAnsi="宋体" w:cs="Arial"/>
          <w:sz w:val="24"/>
        </w:rPr>
      </w:pPr>
      <w:r>
        <w:rPr>
          <w:rFonts w:ascii="宋体" w:hAnsi="宋体" w:cs="Tahoma" w:hint="eastAsia"/>
          <w:color w:val="000000"/>
          <w:sz w:val="24"/>
        </w:rPr>
        <w:t>证券经纪机构代理本基金财产与中登公司完成证券交易及</w:t>
      </w:r>
      <w:proofErr w:type="gramStart"/>
      <w:r>
        <w:rPr>
          <w:rFonts w:ascii="宋体" w:hAnsi="宋体" w:cs="Tahoma" w:hint="eastAsia"/>
          <w:color w:val="000000"/>
          <w:sz w:val="24"/>
        </w:rPr>
        <w:t>非交易</w:t>
      </w:r>
      <w:proofErr w:type="gramEnd"/>
      <w:r>
        <w:rPr>
          <w:rFonts w:ascii="宋体" w:hAnsi="宋体" w:cs="Tahoma" w:hint="eastAsia"/>
          <w:color w:val="000000"/>
          <w:sz w:val="24"/>
        </w:rPr>
        <w:t>涉及的证券资金结算业务，并承担由证券经纪机构原因造成的正常结算、交收业务无法完成的责任。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（三）基金申购、赎回和转换业务处理的基本规定</w:t>
      </w:r>
    </w:p>
    <w:p w:rsidR="00EF58AF" w:rsidRDefault="003764FD">
      <w:pPr>
        <w:spacing w:line="360" w:lineRule="auto"/>
        <w:ind w:firstLineChars="200" w:firstLine="480"/>
        <w:contextualSpacing/>
        <w:rPr>
          <w:rFonts w:ascii="宋体" w:hAnsi="宋体"/>
          <w:sz w:val="24"/>
        </w:rPr>
      </w:pPr>
      <w:r>
        <w:rPr>
          <w:rFonts w:ascii="宋体" w:hAnsi="宋体"/>
          <w:sz w:val="24"/>
        </w:rPr>
        <w:t>1.基金份额申购、赎回</w:t>
      </w:r>
      <w:r>
        <w:rPr>
          <w:rFonts w:ascii="宋体" w:hAnsi="宋体" w:hint="eastAsia"/>
          <w:sz w:val="24"/>
        </w:rPr>
        <w:t>、转换的确认、清算由基金管理人或其委托的登记机构负责。</w:t>
      </w:r>
    </w:p>
    <w:p w:rsidR="00EF58AF" w:rsidRDefault="003764FD">
      <w:pPr>
        <w:spacing w:line="360" w:lineRule="auto"/>
        <w:ind w:firstLineChars="200" w:firstLine="480"/>
        <w:contextualSpacing/>
        <w:rPr>
          <w:rFonts w:ascii="宋体" w:hAnsi="宋体"/>
          <w:sz w:val="24"/>
        </w:rPr>
      </w:pPr>
      <w:r>
        <w:rPr>
          <w:rFonts w:ascii="宋体" w:hAnsi="宋体"/>
          <w:sz w:val="24"/>
        </w:rPr>
        <w:t>2.基金管理人应将每个开放日的申购、赎回、转换开放式基金的数据传送给基金托管人。基金管理人应对传递的申购、赎回、转换开放式基金的数据真实性</w:t>
      </w:r>
      <w:r>
        <w:rPr>
          <w:rFonts w:ascii="宋体" w:hAnsi="宋体" w:hint="eastAsia"/>
          <w:sz w:val="24"/>
        </w:rPr>
        <w:t>和准确性负责。基金托管人应及时查收申购及转入资金的到账情况并根据基金管理人指令及时划付赎回及转出款项。</w:t>
      </w:r>
    </w:p>
    <w:p w:rsidR="00EF58AF" w:rsidRDefault="003764FD">
      <w:pPr>
        <w:spacing w:line="360" w:lineRule="auto"/>
        <w:ind w:firstLineChars="200" w:firstLine="480"/>
        <w:contextualSpacing/>
        <w:rPr>
          <w:rFonts w:ascii="宋体" w:hAnsi="宋体"/>
          <w:sz w:val="24"/>
        </w:rPr>
      </w:pPr>
      <w:r>
        <w:rPr>
          <w:rFonts w:ascii="宋体" w:hAnsi="宋体"/>
          <w:sz w:val="24"/>
        </w:rPr>
        <w:t>3.基金管理人应保证本基金（或本基金管理人委托）的</w:t>
      </w:r>
      <w:r>
        <w:rPr>
          <w:rFonts w:ascii="宋体" w:hAnsi="宋体" w:hint="eastAsia"/>
          <w:sz w:val="24"/>
        </w:rPr>
        <w:t>注册登记机构每个工作日</w:t>
      </w:r>
      <w:r>
        <w:rPr>
          <w:rFonts w:ascii="宋体" w:hAnsi="宋体"/>
          <w:sz w:val="24"/>
        </w:rPr>
        <w:t>15:00前向基金托管人发送前一开放</w:t>
      </w:r>
      <w:proofErr w:type="gramStart"/>
      <w:r>
        <w:rPr>
          <w:rFonts w:ascii="宋体" w:hAnsi="宋体"/>
          <w:sz w:val="24"/>
        </w:rPr>
        <w:t>日上述</w:t>
      </w:r>
      <w:proofErr w:type="gramEnd"/>
      <w:r>
        <w:rPr>
          <w:rFonts w:ascii="宋体" w:hAnsi="宋体"/>
          <w:sz w:val="24"/>
        </w:rPr>
        <w:t>有关数据，并保证相关数据的准确、完整。</w:t>
      </w:r>
    </w:p>
    <w:p w:rsidR="00EF58AF" w:rsidRDefault="003764FD">
      <w:pPr>
        <w:spacing w:line="360" w:lineRule="auto"/>
        <w:ind w:firstLineChars="200" w:firstLine="480"/>
        <w:contextualSpacing/>
        <w:rPr>
          <w:rFonts w:ascii="宋体" w:hAnsi="宋体"/>
          <w:sz w:val="24"/>
        </w:rPr>
      </w:pPr>
      <w:r>
        <w:rPr>
          <w:rFonts w:ascii="宋体" w:hAnsi="宋体"/>
          <w:sz w:val="24"/>
        </w:rPr>
        <w:t>4.</w:t>
      </w:r>
      <w:r>
        <w:rPr>
          <w:rFonts w:ascii="宋体" w:hAnsi="宋体" w:hint="eastAsia"/>
          <w:sz w:val="24"/>
        </w:rPr>
        <w:t>注册登记机构应通过与基金管理人建立的系统发送有关数据，由基金管理人向基金托管人发送有关数据，如因各种原因，该系统无法正常发送，双方可协商解决处理方式。基金管理人向基金托管人发送的数据，双方各自按有关规定保存。</w:t>
      </w:r>
    </w:p>
    <w:p w:rsidR="00EF58AF" w:rsidRDefault="003764FD">
      <w:pPr>
        <w:spacing w:line="360" w:lineRule="auto"/>
        <w:ind w:firstLineChars="200" w:firstLine="480"/>
        <w:contextualSpacing/>
        <w:rPr>
          <w:rFonts w:ascii="宋体" w:hAnsi="宋体"/>
          <w:sz w:val="24"/>
        </w:rPr>
      </w:pPr>
      <w:r>
        <w:rPr>
          <w:rFonts w:ascii="宋体" w:hAnsi="宋体"/>
          <w:sz w:val="24"/>
        </w:rPr>
        <w:t>5.如基金管理人委托其他机构办理本基金的</w:t>
      </w:r>
      <w:r>
        <w:rPr>
          <w:rFonts w:ascii="宋体" w:hAnsi="宋体" w:hint="eastAsia"/>
          <w:sz w:val="24"/>
        </w:rPr>
        <w:t>注册登记业务，应保证上述相关事宜按时进行。否则，由基金管理人承担相应的责任。</w:t>
      </w:r>
    </w:p>
    <w:p w:rsidR="00EF58AF" w:rsidRDefault="003764FD">
      <w:pPr>
        <w:spacing w:line="360" w:lineRule="auto"/>
        <w:ind w:firstLineChars="200" w:firstLine="480"/>
        <w:contextualSpacing/>
        <w:rPr>
          <w:rFonts w:ascii="宋体" w:hAnsi="宋体"/>
          <w:sz w:val="24"/>
        </w:rPr>
      </w:pPr>
      <w:r>
        <w:rPr>
          <w:rFonts w:ascii="宋体" w:hAnsi="宋体"/>
          <w:sz w:val="24"/>
        </w:rPr>
        <w:t>6.关于清算专用账户的设立和管理</w:t>
      </w:r>
    </w:p>
    <w:p w:rsidR="00EF58AF" w:rsidRDefault="003764FD">
      <w:pPr>
        <w:spacing w:line="360" w:lineRule="auto"/>
        <w:ind w:firstLineChars="200" w:firstLine="480"/>
        <w:contextualSpacing/>
        <w:rPr>
          <w:rFonts w:ascii="宋体" w:hAnsi="宋体"/>
          <w:sz w:val="24"/>
        </w:rPr>
      </w:pPr>
      <w:r>
        <w:rPr>
          <w:rFonts w:ascii="宋体" w:hAnsi="宋体" w:hint="eastAsia"/>
          <w:sz w:val="24"/>
        </w:rPr>
        <w:t>为满足申购、赎回、转换及分红资金汇划的需要，由基金管理人开立资金清算的专用账户，该账户由注册登记机构管理。</w:t>
      </w:r>
    </w:p>
    <w:p w:rsidR="00EF58AF" w:rsidRDefault="003764FD">
      <w:pPr>
        <w:spacing w:line="360" w:lineRule="auto"/>
        <w:ind w:firstLineChars="200" w:firstLine="480"/>
        <w:contextualSpacing/>
        <w:rPr>
          <w:rFonts w:ascii="宋体" w:hAnsi="宋体"/>
          <w:sz w:val="24"/>
        </w:rPr>
      </w:pPr>
      <w:r>
        <w:rPr>
          <w:rFonts w:ascii="宋体" w:hAnsi="宋体"/>
          <w:sz w:val="24"/>
        </w:rPr>
        <w:t>7.对于基金申购</w:t>
      </w:r>
      <w:r>
        <w:rPr>
          <w:rFonts w:ascii="宋体" w:hAnsi="宋体" w:hint="eastAsia"/>
          <w:sz w:val="24"/>
        </w:rPr>
        <w:t>、转换过程中产生的应收款，应由基金管理人负责与有关当事</w:t>
      </w:r>
      <w:r>
        <w:rPr>
          <w:rFonts w:ascii="宋体" w:hAnsi="宋体" w:hint="eastAsia"/>
          <w:sz w:val="24"/>
        </w:rPr>
        <w:lastRenderedPageBreak/>
        <w:t>人确定到账日期并通知基金托管人，到账日应收款没有到达基金资金账户的，基金托管人应及时通知基金管理人采取措施进行催收，由此造成基金损失的，基金管理人应负责向有关当事人追偿基金的损失。</w:t>
      </w:r>
    </w:p>
    <w:p w:rsidR="00EF58AF" w:rsidRDefault="003764FD">
      <w:pPr>
        <w:spacing w:line="360" w:lineRule="auto"/>
        <w:ind w:firstLineChars="200" w:firstLine="480"/>
        <w:contextualSpacing/>
        <w:rPr>
          <w:rFonts w:ascii="宋体" w:hAnsi="宋体"/>
          <w:sz w:val="24"/>
        </w:rPr>
      </w:pPr>
      <w:r>
        <w:rPr>
          <w:rFonts w:ascii="宋体" w:hAnsi="宋体"/>
          <w:sz w:val="24"/>
        </w:rPr>
        <w:t>8.赎回</w:t>
      </w:r>
      <w:r>
        <w:rPr>
          <w:rFonts w:ascii="宋体" w:hAnsi="宋体" w:hint="eastAsia"/>
          <w:sz w:val="24"/>
        </w:rPr>
        <w:t>、转换资金划付规定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划付赎回款、转换转出款时，如基金资金账户有足够的资金，基金托管人应按时划付；因基金资金账户没有足够的资金，导致基金托管人不能按时划付，基金托管人不承担责任，责任由基金管理人承担，基金托管人不承担垫款义务。</w:t>
      </w:r>
    </w:p>
    <w:p w:rsidR="00EF58AF" w:rsidRDefault="003764FD">
      <w:pPr>
        <w:spacing w:line="360" w:lineRule="auto"/>
        <w:ind w:firstLineChars="200" w:firstLine="480"/>
        <w:contextualSpacing/>
        <w:rPr>
          <w:rFonts w:ascii="宋体" w:hAnsi="宋体"/>
          <w:sz w:val="24"/>
        </w:rPr>
      </w:pPr>
      <w:r>
        <w:rPr>
          <w:rFonts w:ascii="宋体" w:hAnsi="宋体"/>
          <w:sz w:val="24"/>
        </w:rPr>
        <w:t>9.资金指令</w:t>
      </w:r>
    </w:p>
    <w:p w:rsidR="00EF58AF" w:rsidRDefault="003764FD">
      <w:pPr>
        <w:spacing w:line="360" w:lineRule="auto"/>
        <w:ind w:firstLineChars="200" w:firstLine="480"/>
        <w:contextualSpacing/>
        <w:rPr>
          <w:rFonts w:ascii="宋体" w:hAnsi="宋体"/>
          <w:sz w:val="24"/>
        </w:rPr>
      </w:pPr>
      <w:r>
        <w:rPr>
          <w:rFonts w:ascii="宋体" w:hAnsi="宋体" w:hint="eastAsia"/>
          <w:sz w:val="24"/>
        </w:rPr>
        <w:t>除申购款项到达基金资金账户需双方按约定方式对账外，与投资有关的付款、赎回和分红资金划拨时，基金管理人需向基金托管人下达指令。</w:t>
      </w:r>
    </w:p>
    <w:p w:rsidR="00EF58AF" w:rsidRDefault="003764FD">
      <w:pPr>
        <w:spacing w:line="360" w:lineRule="auto"/>
        <w:ind w:firstLineChars="200" w:firstLine="480"/>
        <w:contextualSpacing/>
        <w:rPr>
          <w:rFonts w:ascii="宋体" w:hAnsi="宋体"/>
          <w:sz w:val="24"/>
        </w:rPr>
      </w:pPr>
      <w:r>
        <w:rPr>
          <w:rFonts w:ascii="宋体" w:hAnsi="宋体" w:hint="eastAsia"/>
          <w:sz w:val="24"/>
        </w:rPr>
        <w:t>资金指令的格式、内容、发送、接收和确认方式等与投资指令相同。</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（四）资金净额结算</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资金账户与基金清算账户间的资金结算遵循“全额清算、净额交收”的原则，每日按照资金账户应收资金与应付资金的差额来确定资金账户净应收额或净应付额，以此确定资金交收额，基金托管人应当为基金管理人提供适当方式，便于基金管理人进行查询和账务管理。当存在资金账户净应收额时，基金管理人应在</w:t>
      </w:r>
      <w:proofErr w:type="gramStart"/>
      <w:r>
        <w:rPr>
          <w:rFonts w:ascii="宋体" w:hAnsi="宋体" w:hint="eastAsia"/>
          <w:sz w:val="24"/>
        </w:rPr>
        <w:t>交收日</w:t>
      </w:r>
      <w:proofErr w:type="gramEnd"/>
      <w:r>
        <w:rPr>
          <w:rFonts w:ascii="宋体" w:hAnsi="宋体"/>
          <w:sz w:val="24"/>
        </w:rPr>
        <w:t>15:00</w:t>
      </w:r>
      <w:r>
        <w:rPr>
          <w:rFonts w:ascii="宋体" w:hAnsi="宋体" w:hint="eastAsia"/>
          <w:sz w:val="24"/>
        </w:rPr>
        <w:t>时之前从基金清算账户</w:t>
      </w:r>
      <w:proofErr w:type="gramStart"/>
      <w:r>
        <w:rPr>
          <w:rFonts w:ascii="宋体" w:hAnsi="宋体" w:hint="eastAsia"/>
          <w:sz w:val="24"/>
        </w:rPr>
        <w:t>划往基金</w:t>
      </w:r>
      <w:proofErr w:type="gramEnd"/>
      <w:r>
        <w:rPr>
          <w:rFonts w:ascii="宋体" w:hAnsi="宋体" w:hint="eastAsia"/>
          <w:sz w:val="24"/>
        </w:rPr>
        <w:t>资金账户，基金管理人通过基金托管人提供的方式查询结果；当存在资金账户净应付额时，基金托管人按照基金管理人的划款指令将托管账户净应付额在交</w:t>
      </w:r>
      <w:proofErr w:type="gramStart"/>
      <w:r>
        <w:rPr>
          <w:rFonts w:ascii="宋体" w:hAnsi="宋体" w:hint="eastAsia"/>
          <w:sz w:val="24"/>
        </w:rPr>
        <w:t>收日及时划往基金</w:t>
      </w:r>
      <w:proofErr w:type="gramEnd"/>
      <w:r>
        <w:rPr>
          <w:rFonts w:ascii="宋体" w:hAnsi="宋体" w:hint="eastAsia"/>
          <w:sz w:val="24"/>
        </w:rPr>
        <w:t>清算账户，基金管理人通过基金托管人提供的方式查询结果。</w:t>
      </w:r>
    </w:p>
    <w:p w:rsidR="00EF58AF" w:rsidRDefault="003764FD">
      <w:pPr>
        <w:spacing w:line="360" w:lineRule="auto"/>
        <w:ind w:firstLineChars="200" w:firstLine="480"/>
        <w:contextualSpacing/>
        <w:rPr>
          <w:rFonts w:ascii="宋体" w:hAnsi="宋体"/>
          <w:i/>
          <w:sz w:val="24"/>
        </w:rPr>
      </w:pPr>
      <w:r>
        <w:rPr>
          <w:rFonts w:ascii="宋体" w:hAnsi="宋体" w:hint="eastAsia"/>
          <w:sz w:val="24"/>
        </w:rPr>
        <w:t>当存在资金账户净应付额时，如基金银行账户有足够的资金，基金托管人应按时划付；因基金资金账户没有足够的资金，导致基金托管人不能按时划付，基金托管人应及时通知基金管理人，基金托管人不承担责任；如</w:t>
      </w:r>
      <w:proofErr w:type="gramStart"/>
      <w:r>
        <w:rPr>
          <w:rFonts w:ascii="宋体" w:hAnsi="宋体" w:hint="eastAsia"/>
          <w:sz w:val="24"/>
        </w:rPr>
        <w:t>系基金</w:t>
      </w:r>
      <w:proofErr w:type="gramEnd"/>
      <w:r>
        <w:rPr>
          <w:rFonts w:ascii="宋体" w:hAnsi="宋体" w:hint="eastAsia"/>
          <w:sz w:val="24"/>
        </w:rPr>
        <w:t>管理人的原因造成，责任由基金管理人承担，基金托管人不承担垫款义务。</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（五）基金现金分红</w:t>
      </w:r>
    </w:p>
    <w:p w:rsidR="00EF58AF" w:rsidRDefault="003764FD">
      <w:pPr>
        <w:spacing w:line="360" w:lineRule="auto"/>
        <w:ind w:firstLineChars="200" w:firstLine="480"/>
        <w:contextualSpacing/>
        <w:rPr>
          <w:rFonts w:ascii="宋体" w:hAnsi="宋体"/>
          <w:sz w:val="24"/>
        </w:rPr>
      </w:pPr>
      <w:r>
        <w:rPr>
          <w:rFonts w:ascii="宋体" w:hAnsi="宋体"/>
          <w:sz w:val="24"/>
        </w:rPr>
        <w:t>1.基金管理人确定分红方案通知基金托管人，双方核定后依照《信息披露办法》的有关规定在中国证监会</w:t>
      </w:r>
      <w:r>
        <w:rPr>
          <w:rFonts w:ascii="宋体" w:hAnsi="宋体" w:hint="eastAsia"/>
          <w:sz w:val="24"/>
        </w:rPr>
        <w:t>规定媒介上公告。</w:t>
      </w:r>
    </w:p>
    <w:p w:rsidR="00EF58AF" w:rsidRDefault="003764FD">
      <w:pPr>
        <w:spacing w:line="360" w:lineRule="auto"/>
        <w:ind w:firstLineChars="200" w:firstLine="480"/>
        <w:contextualSpacing/>
        <w:rPr>
          <w:rFonts w:ascii="宋体" w:hAnsi="宋体"/>
          <w:sz w:val="24"/>
        </w:rPr>
      </w:pPr>
      <w:r>
        <w:rPr>
          <w:rFonts w:ascii="宋体" w:hAnsi="宋体"/>
          <w:sz w:val="24"/>
        </w:rPr>
        <w:t>2.基金托管人和基金管理人对基金分红进行账务处理并核对后，基金管理人向基金托管人发送现金红利的划款指令，基金托管人应</w:t>
      </w:r>
      <w:r>
        <w:rPr>
          <w:rFonts w:ascii="宋体" w:hAnsi="宋体" w:hint="eastAsia"/>
          <w:sz w:val="24"/>
        </w:rPr>
        <w:t>根据指令及时将分红款</w:t>
      </w:r>
      <w:proofErr w:type="gramStart"/>
      <w:r>
        <w:rPr>
          <w:rFonts w:ascii="宋体" w:hAnsi="宋体" w:hint="eastAsia"/>
          <w:sz w:val="24"/>
        </w:rPr>
        <w:t>划往基金</w:t>
      </w:r>
      <w:proofErr w:type="gramEnd"/>
      <w:r>
        <w:rPr>
          <w:rFonts w:ascii="宋体" w:hAnsi="宋体" w:hint="eastAsia"/>
          <w:sz w:val="24"/>
        </w:rPr>
        <w:t>清算账户。</w:t>
      </w:r>
    </w:p>
    <w:p w:rsidR="00EF58AF" w:rsidRDefault="003764FD">
      <w:pPr>
        <w:spacing w:line="360" w:lineRule="auto"/>
        <w:ind w:firstLineChars="200" w:firstLine="480"/>
        <w:contextualSpacing/>
        <w:rPr>
          <w:rFonts w:ascii="宋体" w:hAnsi="宋体"/>
          <w:sz w:val="24"/>
        </w:rPr>
      </w:pPr>
      <w:r>
        <w:rPr>
          <w:rFonts w:ascii="宋体" w:hAnsi="宋体"/>
          <w:sz w:val="24"/>
        </w:rPr>
        <w:lastRenderedPageBreak/>
        <w:t>3.基金管理人在下达指令时，应给基金托管人留出必需的划款时间。</w:t>
      </w:r>
    </w:p>
    <w:p w:rsidR="00EF58AF" w:rsidRDefault="00EF58AF">
      <w:pPr>
        <w:spacing w:line="360" w:lineRule="auto"/>
        <w:ind w:firstLineChars="200" w:firstLine="480"/>
        <w:contextualSpacing/>
        <w:rPr>
          <w:rFonts w:ascii="宋体" w:hAnsi="宋体"/>
          <w:sz w:val="24"/>
        </w:rPr>
      </w:pPr>
    </w:p>
    <w:p w:rsidR="00EF58AF" w:rsidRDefault="00EF58AF">
      <w:pPr>
        <w:spacing w:line="360" w:lineRule="auto"/>
        <w:ind w:firstLineChars="200" w:firstLine="480"/>
        <w:contextualSpacing/>
        <w:rPr>
          <w:rFonts w:ascii="宋体" w:hAnsi="宋体"/>
          <w:sz w:val="24"/>
        </w:rPr>
      </w:pPr>
    </w:p>
    <w:bookmarkEnd w:id="123"/>
    <w:p w:rsidR="00EF58AF" w:rsidRDefault="00EF58AF">
      <w:pPr>
        <w:spacing w:line="360" w:lineRule="auto"/>
        <w:ind w:firstLineChars="200" w:firstLine="480"/>
        <w:contextualSpacing/>
        <w:rPr>
          <w:rFonts w:ascii="宋体" w:hAnsi="宋体"/>
          <w:sz w:val="24"/>
        </w:rPr>
        <w:sectPr w:rsidR="00EF58AF">
          <w:footerReference w:type="default" r:id="rId60"/>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25" w:name="_Toc348082036"/>
      <w:bookmarkStart w:id="126" w:name="_Toc384992698"/>
      <w:bookmarkStart w:id="127" w:name="_Toc3276855"/>
      <w:bookmarkStart w:id="128" w:name="CLAUSE_91e51f2778d64c7db088a52e2454c65e"/>
      <w:r>
        <w:rPr>
          <w:rFonts w:ascii="宋体" w:eastAsia="宋体" w:hAnsi="宋体"/>
        </w:rPr>
        <w:lastRenderedPageBreak/>
        <w:t xml:space="preserve"> </w:t>
      </w:r>
      <w:bookmarkStart w:id="129" w:name="CTS_91e51f2778d64c7db088a52e2454c65e"/>
      <w:bookmarkEnd w:id="129"/>
      <w:r>
        <w:rPr>
          <w:rFonts w:ascii="宋体" w:eastAsia="宋体" w:hAnsi="宋体" w:hint="eastAsia"/>
        </w:rPr>
        <w:t>基金资产净值计算、估值和会计核算</w:t>
      </w:r>
      <w:bookmarkEnd w:id="125"/>
      <w:bookmarkEnd w:id="126"/>
      <w:bookmarkEnd w:id="127"/>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（一）基金资产净值的计算、复核与完成的时间及程序</w:t>
      </w:r>
    </w:p>
    <w:p w:rsidR="00EF58AF" w:rsidRDefault="003764FD">
      <w:pPr>
        <w:spacing w:line="360" w:lineRule="auto"/>
        <w:ind w:firstLineChars="200" w:firstLine="480"/>
        <w:contextualSpacing/>
        <w:rPr>
          <w:rFonts w:ascii="宋体" w:hAnsi="宋体"/>
          <w:sz w:val="24"/>
        </w:rPr>
      </w:pPr>
      <w:r>
        <w:rPr>
          <w:rFonts w:ascii="宋体" w:hAnsi="宋体"/>
          <w:sz w:val="24"/>
        </w:rPr>
        <w:t>1.基金资产净值</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基金资产净值是指基金资产总值减去基金负债后的价值。</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基金份额净值是指每个工作日闭市后，基金资产净值除以当日基金份额总数，基金份额净值的计算，精确到</w:t>
      </w:r>
      <w:r>
        <w:rPr>
          <w:rFonts w:ascii="宋体" w:hAnsi="宋体"/>
          <w:sz w:val="24"/>
        </w:rPr>
        <w:t>0.0001</w:t>
      </w:r>
      <w:r>
        <w:rPr>
          <w:rFonts w:ascii="宋体" w:hAnsi="宋体" w:hint="eastAsia"/>
          <w:sz w:val="24"/>
        </w:rPr>
        <w:t>元，小数点后第五位四舍五入。基金管理人可以设立大额赎回情形下的净值精度应急调整机制。国家另有规定的，从其规定。</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基金管理人每个工作日计算基金净值信息，经基金托管人复核，按规定公告。</w:t>
      </w:r>
    </w:p>
    <w:p w:rsidR="00EF58AF" w:rsidRDefault="003764FD">
      <w:pPr>
        <w:spacing w:line="360" w:lineRule="auto"/>
        <w:ind w:firstLineChars="200" w:firstLine="480"/>
        <w:contextualSpacing/>
        <w:rPr>
          <w:rFonts w:ascii="宋体" w:hAnsi="宋体"/>
          <w:sz w:val="24"/>
        </w:rPr>
      </w:pPr>
      <w:r>
        <w:rPr>
          <w:rFonts w:ascii="宋体" w:hAnsi="宋体"/>
          <w:sz w:val="24"/>
        </w:rPr>
        <w:t>2.复核程序</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基金管理人每工作日对基金资产进行估值后，将基金净值信息发送基金托管人，经基金托管人复核无误后，由基金管理人对外公布。</w:t>
      </w:r>
    </w:p>
    <w:p w:rsidR="00EF58AF" w:rsidRDefault="003764FD">
      <w:pPr>
        <w:spacing w:line="360" w:lineRule="auto"/>
        <w:ind w:firstLineChars="200" w:firstLine="480"/>
        <w:contextualSpacing/>
        <w:rPr>
          <w:rFonts w:ascii="宋体" w:hAnsi="宋体"/>
          <w:sz w:val="24"/>
        </w:rPr>
      </w:pPr>
      <w:r>
        <w:rPr>
          <w:rFonts w:ascii="宋体" w:hAnsi="宋体"/>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w:t>
      </w:r>
      <w:r>
        <w:rPr>
          <w:rFonts w:ascii="宋体" w:hAnsi="宋体" w:hint="eastAsia"/>
          <w:sz w:val="24"/>
        </w:rPr>
        <w:t>信息</w:t>
      </w:r>
      <w:r>
        <w:rPr>
          <w:rFonts w:ascii="宋体" w:hAnsi="宋体"/>
          <w:sz w:val="24"/>
        </w:rPr>
        <w:t>的计算结果对外予以公布。</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（二）基金资产的估值</w:t>
      </w:r>
    </w:p>
    <w:p w:rsidR="00EF58AF" w:rsidRDefault="003764FD">
      <w:pPr>
        <w:spacing w:line="360" w:lineRule="auto"/>
        <w:ind w:firstLineChars="200" w:firstLine="480"/>
        <w:contextualSpacing/>
        <w:rPr>
          <w:rStyle w:val="read"/>
          <w:rFonts w:ascii="宋体" w:hAnsi="宋体"/>
          <w:sz w:val="24"/>
        </w:rPr>
      </w:pPr>
      <w:r>
        <w:rPr>
          <w:rFonts w:ascii="宋体" w:hAnsi="宋体" w:hint="eastAsia"/>
          <w:sz w:val="24"/>
        </w:rPr>
        <w:t>基金管理人及基金托管人应当按照《基金合同》的约定进行估值。</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（三）基金份额净值错误的处理方式</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基金管理人及基金托管人应当按照《基金合同》的约定处理份额净值错误。</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（四）基金会计制度</w:t>
      </w:r>
    </w:p>
    <w:p w:rsidR="00EF58AF" w:rsidRDefault="003764FD">
      <w:pPr>
        <w:spacing w:line="360" w:lineRule="auto"/>
        <w:ind w:firstLineChars="200" w:firstLine="480"/>
        <w:contextualSpacing/>
        <w:rPr>
          <w:rFonts w:ascii="宋体" w:hAnsi="宋体"/>
          <w:sz w:val="24"/>
        </w:rPr>
      </w:pPr>
      <w:r>
        <w:rPr>
          <w:rFonts w:ascii="宋体" w:hAnsi="宋体" w:hint="eastAsia"/>
          <w:sz w:val="24"/>
        </w:rPr>
        <w:t>按国家有关部门规定的会计制度执行。</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（五）基金账册的建立</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rsidR="00EF58AF" w:rsidRDefault="003764FD">
      <w:pPr>
        <w:spacing w:line="360" w:lineRule="auto"/>
        <w:ind w:firstLineChars="200" w:firstLine="480"/>
        <w:contextualSpacing/>
        <w:rPr>
          <w:rFonts w:ascii="宋体" w:hAnsi="宋体"/>
          <w:sz w:val="24"/>
        </w:rPr>
      </w:pPr>
      <w:r>
        <w:rPr>
          <w:rFonts w:ascii="宋体" w:hAnsi="宋体" w:hint="eastAsia"/>
          <w:sz w:val="24"/>
        </w:rPr>
        <w:t>（六）基金财务报表与报告的编制和复核</w:t>
      </w:r>
    </w:p>
    <w:p w:rsidR="00EF58AF" w:rsidRDefault="003764FD">
      <w:pPr>
        <w:spacing w:line="360" w:lineRule="auto"/>
        <w:ind w:firstLineChars="200" w:firstLine="480"/>
        <w:contextualSpacing/>
        <w:rPr>
          <w:rFonts w:ascii="宋体" w:hAnsi="宋体"/>
          <w:sz w:val="24"/>
        </w:rPr>
      </w:pPr>
      <w:r>
        <w:rPr>
          <w:rFonts w:ascii="宋体" w:hAnsi="宋体"/>
          <w:sz w:val="24"/>
        </w:rPr>
        <w:t>1.财务报表的编制</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基金财务报表由基金管理人编制，基金托管人复核。</w:t>
      </w:r>
    </w:p>
    <w:p w:rsidR="00EF58AF" w:rsidRDefault="003764FD">
      <w:pPr>
        <w:spacing w:line="360" w:lineRule="auto"/>
        <w:ind w:firstLineChars="200" w:firstLine="480"/>
        <w:contextualSpacing/>
        <w:rPr>
          <w:rFonts w:ascii="宋体" w:hAnsi="宋体"/>
          <w:sz w:val="24"/>
        </w:rPr>
      </w:pPr>
      <w:r>
        <w:rPr>
          <w:rFonts w:ascii="宋体" w:hAnsi="宋体"/>
          <w:sz w:val="24"/>
        </w:rPr>
        <w:lastRenderedPageBreak/>
        <w:t>2.报表复核</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基金托管人在收到基金管理人编制的基金财务报表后，进行独立的复核。核对不符时，应及时通知基金管理人共同查出原因，进行调整，直至双方数据完全一致。</w:t>
      </w:r>
    </w:p>
    <w:p w:rsidR="00EF58AF" w:rsidRDefault="003764FD">
      <w:pPr>
        <w:spacing w:line="360" w:lineRule="auto"/>
        <w:ind w:firstLineChars="200" w:firstLine="480"/>
        <w:contextualSpacing/>
        <w:rPr>
          <w:rFonts w:ascii="宋体" w:hAnsi="宋体"/>
          <w:sz w:val="24"/>
        </w:rPr>
      </w:pPr>
      <w:r>
        <w:rPr>
          <w:rFonts w:ascii="宋体" w:hAnsi="宋体"/>
          <w:sz w:val="24"/>
        </w:rPr>
        <w:t>3.财务报表的编制与复核时间安排</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基金管理人、基金托管人应当在每月结束后</w:t>
      </w:r>
      <w:r>
        <w:rPr>
          <w:rFonts w:ascii="宋体" w:hAnsi="宋体"/>
          <w:sz w:val="24"/>
        </w:rPr>
        <w:t>5</w:t>
      </w:r>
      <w:r>
        <w:rPr>
          <w:rFonts w:ascii="宋体" w:hAnsi="宋体" w:hint="eastAsia"/>
          <w:sz w:val="24"/>
        </w:rPr>
        <w:t>个工作日内完成月度报表的编制及复核；基金管理人、基金托管人应当在每个季度结束之日起</w:t>
      </w:r>
      <w:r>
        <w:rPr>
          <w:rFonts w:ascii="宋体" w:hAnsi="宋体"/>
          <w:sz w:val="24"/>
        </w:rPr>
        <w:t>15</w:t>
      </w:r>
      <w:r>
        <w:rPr>
          <w:rFonts w:ascii="宋体" w:hAnsi="宋体" w:hint="eastAsia"/>
          <w:sz w:val="24"/>
        </w:rPr>
        <w:t>个工作日内，完成基金季度报告的编制及复核，将季度报告登载在规定网站上，并将季度报告提示性公告登载在规定报刊上。基金管理人、基金托管人应当在上半年结束之日起两个月内，完成基金中期报告的编制及复核，将中期报告登载在规定网站上，并将中期报告提示性公告登载在规定报刊上。基金管理人、基金托管人应当在每年结束之日起三个月内，编制完成基金年度报告，将年度报告登载于规定网站上，并将年度报告提示性公告登载在规定报刊上。基金年度报告中的财务会计报告应当经过符合《中华人民共和国证券法》规定的会计师事务所审计。基金托管人在复核过程中，发现双方的报表存在不符时，基金管理人和基金托管人应共同查明原因，进行调整，调整以国家有关规定为准。基金合同生效不足两个月的，基金管理人可以不编制当期季度报告、</w:t>
      </w:r>
      <w:r>
        <w:rPr>
          <w:rFonts w:ascii="宋体" w:hAnsi="宋体"/>
          <w:sz w:val="24"/>
        </w:rPr>
        <w:t>中期</w:t>
      </w:r>
      <w:r>
        <w:rPr>
          <w:rFonts w:ascii="宋体" w:hAnsi="宋体" w:hint="eastAsia"/>
          <w:sz w:val="24"/>
        </w:rPr>
        <w:t>报告或者年度报告。</w:t>
      </w:r>
    </w:p>
    <w:p w:rsidR="00EF58AF" w:rsidRDefault="003764FD">
      <w:pPr>
        <w:spacing w:line="360" w:lineRule="auto"/>
        <w:ind w:firstLineChars="200" w:firstLine="480"/>
        <w:contextualSpacing/>
        <w:rPr>
          <w:rFonts w:ascii="宋体" w:hAnsi="宋体"/>
          <w:sz w:val="24"/>
        </w:rPr>
      </w:pPr>
      <w:r>
        <w:rPr>
          <w:rFonts w:ascii="宋体" w:hAnsi="宋体" w:hint="eastAsia"/>
          <w:sz w:val="24"/>
        </w:rPr>
        <w:t>（七）在有需要时，基金管理人应每季度向基金托管人提供基金业绩比较基准的基础数据和编制结果。</w:t>
      </w:r>
    </w:p>
    <w:p w:rsidR="00EF58AF" w:rsidRDefault="00EF58AF">
      <w:pPr>
        <w:spacing w:line="360" w:lineRule="auto"/>
        <w:ind w:firstLineChars="200" w:firstLine="480"/>
        <w:contextualSpacing/>
        <w:rPr>
          <w:rFonts w:ascii="宋体" w:hAnsi="宋体"/>
          <w:sz w:val="24"/>
        </w:rPr>
      </w:pPr>
    </w:p>
    <w:p w:rsidR="00EF58AF" w:rsidRDefault="00EF58AF">
      <w:pPr>
        <w:spacing w:line="360" w:lineRule="auto"/>
        <w:ind w:firstLineChars="200" w:firstLine="480"/>
        <w:contextualSpacing/>
        <w:rPr>
          <w:rFonts w:ascii="宋体" w:hAnsi="宋体"/>
          <w:sz w:val="24"/>
        </w:rPr>
      </w:pPr>
    </w:p>
    <w:bookmarkEnd w:id="128"/>
    <w:p w:rsidR="00EF58AF" w:rsidRDefault="00EF58AF">
      <w:pPr>
        <w:spacing w:line="360" w:lineRule="auto"/>
        <w:ind w:firstLineChars="200" w:firstLine="480"/>
        <w:contextualSpacing/>
        <w:rPr>
          <w:rFonts w:ascii="宋体" w:hAnsi="宋体"/>
          <w:sz w:val="24"/>
        </w:rPr>
        <w:sectPr w:rsidR="00EF58AF">
          <w:footerReference w:type="default" r:id="rId61"/>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30" w:name="_Toc3276856"/>
      <w:bookmarkStart w:id="131" w:name="_Toc384992699"/>
      <w:bookmarkStart w:id="132" w:name="_Toc348082037"/>
      <w:bookmarkStart w:id="133" w:name="CLAUSE_e32c4de07a234c189729f8cf9261cf56"/>
      <w:r>
        <w:rPr>
          <w:rFonts w:ascii="宋体" w:eastAsia="宋体" w:hAnsi="宋体"/>
        </w:rPr>
        <w:lastRenderedPageBreak/>
        <w:t xml:space="preserve"> </w:t>
      </w:r>
      <w:bookmarkStart w:id="134" w:name="CTS_e32c4de07a234c189729f8cf9261cf56"/>
      <w:bookmarkEnd w:id="134"/>
      <w:r>
        <w:rPr>
          <w:rFonts w:ascii="宋体" w:eastAsia="宋体" w:hAnsi="宋体" w:hint="eastAsia"/>
        </w:rPr>
        <w:t>基金收益分配</w:t>
      </w:r>
      <w:bookmarkEnd w:id="130"/>
      <w:bookmarkEnd w:id="131"/>
      <w:bookmarkEnd w:id="132"/>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基金管理人与基金托管人按照《基金合同》的约定处理基金收益分配。</w:t>
      </w:r>
    </w:p>
    <w:p w:rsidR="00EF58AF" w:rsidRDefault="00EF58AF">
      <w:pPr>
        <w:spacing w:line="360" w:lineRule="auto"/>
        <w:ind w:firstLineChars="200" w:firstLine="480"/>
        <w:contextualSpacing/>
        <w:rPr>
          <w:rFonts w:ascii="宋体" w:hAnsi="宋体"/>
          <w:sz w:val="24"/>
        </w:rPr>
      </w:pPr>
    </w:p>
    <w:bookmarkEnd w:id="133"/>
    <w:p w:rsidR="00EF58AF" w:rsidRDefault="00EF58AF">
      <w:pPr>
        <w:spacing w:line="360" w:lineRule="auto"/>
        <w:ind w:firstLineChars="200" w:firstLine="480"/>
        <w:contextualSpacing/>
        <w:rPr>
          <w:rFonts w:ascii="宋体" w:hAnsi="宋体"/>
          <w:sz w:val="24"/>
        </w:rPr>
        <w:sectPr w:rsidR="00EF58AF">
          <w:footerReference w:type="default" r:id="rId62"/>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35" w:name="_Toc3276857"/>
      <w:bookmarkStart w:id="136" w:name="_Toc348082038"/>
      <w:bookmarkStart w:id="137" w:name="_Toc384992700"/>
      <w:bookmarkStart w:id="138" w:name="CLAUSE_0db4b9e12cfe4efeacf7c3e563c7f79f"/>
      <w:r>
        <w:rPr>
          <w:rFonts w:ascii="宋体" w:eastAsia="宋体" w:hAnsi="宋体"/>
        </w:rPr>
        <w:lastRenderedPageBreak/>
        <w:t xml:space="preserve"> </w:t>
      </w:r>
      <w:bookmarkStart w:id="139" w:name="CTS_0db4b9e12cfe4efeacf7c3e563c7f79f"/>
      <w:bookmarkEnd w:id="139"/>
      <w:r>
        <w:rPr>
          <w:rFonts w:ascii="宋体" w:eastAsia="宋体" w:hAnsi="宋体" w:hint="eastAsia"/>
        </w:rPr>
        <w:t>基金信息披露</w:t>
      </w:r>
      <w:bookmarkEnd w:id="135"/>
      <w:bookmarkEnd w:id="136"/>
      <w:bookmarkEnd w:id="137"/>
    </w:p>
    <w:p w:rsidR="00EF58AF" w:rsidRDefault="003764FD">
      <w:pPr>
        <w:spacing w:line="360" w:lineRule="auto"/>
        <w:ind w:firstLineChars="200" w:firstLine="480"/>
        <w:contextualSpacing/>
        <w:rPr>
          <w:rFonts w:ascii="宋体" w:hAnsi="宋体"/>
          <w:sz w:val="24"/>
        </w:rPr>
      </w:pPr>
      <w:r>
        <w:rPr>
          <w:rFonts w:ascii="宋体" w:hAnsi="宋体" w:hint="eastAsia"/>
          <w:sz w:val="24"/>
        </w:rPr>
        <w:t>（一）保密义务</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rsidR="00EF58AF" w:rsidRDefault="003764FD">
      <w:pPr>
        <w:spacing w:line="360" w:lineRule="auto"/>
        <w:ind w:firstLineChars="200" w:firstLine="480"/>
        <w:contextualSpacing/>
        <w:rPr>
          <w:rFonts w:ascii="宋体" w:hAnsi="宋体"/>
          <w:sz w:val="24"/>
        </w:rPr>
      </w:pPr>
      <w:r>
        <w:rPr>
          <w:rFonts w:ascii="宋体" w:hAnsi="宋体"/>
          <w:sz w:val="24"/>
        </w:rPr>
        <w:t>1.非因基金管理人和基金托管人的原因导致保密信息被披露、泄露或公开；</w:t>
      </w:r>
    </w:p>
    <w:p w:rsidR="00EF58AF" w:rsidRDefault="003764FD">
      <w:pPr>
        <w:spacing w:line="360" w:lineRule="auto"/>
        <w:ind w:firstLineChars="200" w:firstLine="480"/>
        <w:contextualSpacing/>
        <w:rPr>
          <w:rFonts w:ascii="宋体" w:hAnsi="宋体"/>
          <w:sz w:val="24"/>
        </w:rPr>
      </w:pPr>
      <w:r>
        <w:rPr>
          <w:rFonts w:ascii="宋体" w:hAnsi="宋体"/>
          <w:sz w:val="24"/>
        </w:rPr>
        <w:t>2.基金管理人和基金托管人为遵守和服从法院判决或裁定、仲裁裁决或中国证监会等监管机构的命令、决定所做出的信息披露或公开。</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（二）信息披露的内容</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基金的信息披露内容主要包括基金招募说明书、基金合同、托管协议、基金产品资料概要、基金份额发售公告、基金合同生效公告、基金</w:t>
      </w:r>
      <w:r>
        <w:rPr>
          <w:rFonts w:ascii="宋体" w:hAnsi="宋体"/>
          <w:sz w:val="24"/>
        </w:rPr>
        <w:t>净值信息</w:t>
      </w:r>
      <w:r>
        <w:rPr>
          <w:rFonts w:ascii="宋体" w:hAnsi="宋体" w:hint="eastAsia"/>
          <w:sz w:val="24"/>
        </w:rPr>
        <w:t>、基金份额申购、赎回价格、基金定期报告（包括基金年度报告、基金</w:t>
      </w:r>
      <w:r>
        <w:rPr>
          <w:rFonts w:ascii="宋体" w:hAnsi="宋体"/>
          <w:sz w:val="24"/>
        </w:rPr>
        <w:t>中期</w:t>
      </w:r>
      <w:r>
        <w:rPr>
          <w:rFonts w:ascii="宋体" w:hAnsi="宋体" w:hint="eastAsia"/>
          <w:sz w:val="24"/>
        </w:rPr>
        <w:t>报告和基金季度报告）、临时报告、澄清公告、基金份额持有人大会决议、</w:t>
      </w:r>
      <w:r>
        <w:rPr>
          <w:rFonts w:ascii="宋体" w:hAnsi="宋体" w:cs="Arial" w:hint="eastAsia"/>
          <w:sz w:val="24"/>
        </w:rPr>
        <w:t>基金投资股指期货、国债期货的信息披露、基金投资资产支持证券的信息披露、基金参与融资业务的信息披露、投资流通受限证券信息披露</w:t>
      </w:r>
      <w:r>
        <w:rPr>
          <w:rFonts w:ascii="宋体" w:hAnsi="宋体" w:hint="eastAsia"/>
          <w:sz w:val="24"/>
        </w:rPr>
        <w:t>、基金参与港股通标的股票（包括沪港</w:t>
      </w:r>
      <w:proofErr w:type="gramStart"/>
      <w:r>
        <w:rPr>
          <w:rFonts w:ascii="宋体" w:hAnsi="宋体" w:hint="eastAsia"/>
          <w:sz w:val="24"/>
        </w:rPr>
        <w:t>通股票</w:t>
      </w:r>
      <w:proofErr w:type="gramEnd"/>
      <w:r>
        <w:rPr>
          <w:rFonts w:ascii="宋体" w:hAnsi="宋体" w:hint="eastAsia"/>
          <w:sz w:val="24"/>
        </w:rPr>
        <w:t>及深港通股票）投资的信息披露、清算报告及中国证监会规定的其他信息。基金年度报告需</w:t>
      </w:r>
      <w:proofErr w:type="gramStart"/>
      <w:r>
        <w:rPr>
          <w:rFonts w:ascii="宋体" w:hAnsi="宋体" w:hint="eastAsia"/>
          <w:sz w:val="24"/>
        </w:rPr>
        <w:t>经符合</w:t>
      </w:r>
      <w:proofErr w:type="gramEnd"/>
      <w:r>
        <w:rPr>
          <w:rFonts w:ascii="宋体" w:hAnsi="宋体" w:hint="eastAsia"/>
          <w:sz w:val="24"/>
        </w:rPr>
        <w:t>《中华人民共和国证券法》规定的会计师事务所审计后，方可披露。</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（三）基金托管人和基金管理人在信息披露中的职责和信息披露程序</w:t>
      </w:r>
    </w:p>
    <w:p w:rsidR="00EF58AF" w:rsidRDefault="003764FD">
      <w:pPr>
        <w:spacing w:line="360" w:lineRule="auto"/>
        <w:ind w:firstLineChars="200" w:firstLine="480"/>
        <w:contextualSpacing/>
        <w:rPr>
          <w:rFonts w:ascii="宋体" w:hAnsi="宋体"/>
          <w:sz w:val="24"/>
        </w:rPr>
      </w:pPr>
      <w:r>
        <w:rPr>
          <w:rFonts w:ascii="宋体" w:hAnsi="宋体"/>
          <w:sz w:val="24"/>
        </w:rPr>
        <w:t>1.职责</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托管人和基金管理人在信息披露过程中应以保护基金份额持有人利益为宗旨，诚实信用，严守秘密。基金管理人负责办理与基金有关的信息披露事宜，对于根据相关法律法规和基金合同规定的需要由基金托管人复核的信息披露文件，在经基金托管人复核无误后，由基金管理人予以公布。</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基金管理人和基金托管人应积极配合、互相监督，保证其履行按照法定方式和限时披露的义务。</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基金管理人应当在中国证监会规定的时间内，将应予披露的基金信息通过中</w:t>
      </w:r>
      <w:r>
        <w:rPr>
          <w:rFonts w:ascii="宋体" w:hAnsi="宋体" w:hint="eastAsia"/>
          <w:sz w:val="24"/>
        </w:rPr>
        <w:lastRenderedPageBreak/>
        <w:t>国证监会规定媒介披露。根据法律法规应由基金托管人公开披露的信息，基金托管人在规定媒介公开披露。</w:t>
      </w:r>
    </w:p>
    <w:p w:rsidR="00EF58AF" w:rsidRDefault="003764FD">
      <w:pPr>
        <w:spacing w:line="360" w:lineRule="auto"/>
        <w:ind w:firstLineChars="200" w:firstLine="480"/>
        <w:contextualSpacing/>
        <w:rPr>
          <w:rFonts w:ascii="宋体" w:hAnsi="宋体"/>
          <w:sz w:val="24"/>
        </w:rPr>
      </w:pPr>
      <w:r>
        <w:rPr>
          <w:rFonts w:ascii="宋体" w:hAnsi="宋体" w:hint="eastAsia"/>
          <w:sz w:val="24"/>
        </w:rPr>
        <w:t>当出现下述情况时，基金管理人和基金托管人可暂停或延迟披露基金相关信息：</w:t>
      </w:r>
    </w:p>
    <w:p w:rsidR="00EF58AF" w:rsidRDefault="003764FD">
      <w:pPr>
        <w:spacing w:line="360" w:lineRule="auto"/>
        <w:ind w:firstLineChars="200" w:firstLine="480"/>
        <w:contextualSpacing/>
        <w:rPr>
          <w:rFonts w:ascii="宋体" w:hAnsi="宋体"/>
          <w:sz w:val="24"/>
        </w:rPr>
      </w:pPr>
      <w:r>
        <w:rPr>
          <w:rFonts w:ascii="宋体" w:hAnsi="宋体"/>
          <w:sz w:val="24"/>
        </w:rPr>
        <w:t>(1)</w:t>
      </w:r>
      <w:r>
        <w:rPr>
          <w:rFonts w:ascii="宋体" w:hAnsi="宋体" w:hint="eastAsia"/>
          <w:sz w:val="24"/>
        </w:rPr>
        <w:t>不可抗力；</w:t>
      </w:r>
    </w:p>
    <w:p w:rsidR="00EF58AF" w:rsidRDefault="003764FD">
      <w:pPr>
        <w:spacing w:line="360" w:lineRule="auto"/>
        <w:ind w:firstLineChars="200" w:firstLine="480"/>
        <w:contextualSpacing/>
        <w:rPr>
          <w:rFonts w:ascii="宋体" w:hAnsi="宋体" w:cs="Arial"/>
          <w:szCs w:val="21"/>
        </w:rPr>
      </w:pPr>
      <w:r>
        <w:rPr>
          <w:rFonts w:ascii="宋体" w:hAnsi="宋体"/>
          <w:sz w:val="24"/>
        </w:rPr>
        <w:t>(2)基金投资所涉及的证券</w:t>
      </w:r>
      <w:r>
        <w:rPr>
          <w:rFonts w:ascii="宋体" w:hAnsi="宋体" w:hint="eastAsia"/>
          <w:sz w:val="24"/>
        </w:rPr>
        <w:t>、期货交易市场或外汇市场遇法定节假日或因其他原因暂停营业时；</w:t>
      </w:r>
    </w:p>
    <w:p w:rsidR="00EF58AF" w:rsidRDefault="003764FD">
      <w:pPr>
        <w:spacing w:line="360" w:lineRule="auto"/>
        <w:ind w:firstLineChars="200" w:firstLine="480"/>
        <w:contextualSpacing/>
        <w:rPr>
          <w:rFonts w:ascii="宋体" w:hAnsi="宋体"/>
          <w:sz w:val="24"/>
        </w:rPr>
      </w:pPr>
      <w:r>
        <w:rPr>
          <w:rFonts w:ascii="宋体" w:hAnsi="宋体" w:cs="Arial" w:hint="eastAsia"/>
          <w:sz w:val="24"/>
        </w:rPr>
        <w:t>(</w:t>
      </w:r>
      <w:r>
        <w:rPr>
          <w:rFonts w:ascii="宋体" w:hAnsi="宋体"/>
          <w:sz w:val="24"/>
        </w:rPr>
        <w:t>3</w:t>
      </w:r>
      <w:r>
        <w:rPr>
          <w:rFonts w:ascii="宋体" w:hAnsi="宋体" w:cs="Arial" w:hint="eastAsia"/>
          <w:sz w:val="24"/>
        </w:rPr>
        <w:t>)</w:t>
      </w:r>
      <w:r>
        <w:rPr>
          <w:rFonts w:ascii="宋体" w:hAnsi="宋体" w:hint="eastAsia"/>
        </w:rPr>
        <w:t xml:space="preserve"> </w:t>
      </w:r>
      <w:r>
        <w:rPr>
          <w:rFonts w:ascii="宋体" w:hAnsi="宋体" w:hint="eastAsia"/>
          <w:sz w:val="24"/>
        </w:rPr>
        <w:t>基金合同约定的暂停估值的情形；</w:t>
      </w:r>
    </w:p>
    <w:p w:rsidR="00EF58AF" w:rsidRDefault="003764FD">
      <w:pPr>
        <w:spacing w:line="360" w:lineRule="auto"/>
        <w:ind w:firstLineChars="200" w:firstLine="480"/>
        <w:contextualSpacing/>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)法律法规、基金合同或中国证监会规定的情况。</w:t>
      </w:r>
    </w:p>
    <w:p w:rsidR="00EF58AF" w:rsidRDefault="003764FD">
      <w:pPr>
        <w:spacing w:line="360" w:lineRule="auto"/>
        <w:ind w:firstLineChars="200" w:firstLine="480"/>
        <w:contextualSpacing/>
        <w:rPr>
          <w:rFonts w:ascii="宋体" w:hAnsi="宋体"/>
          <w:sz w:val="24"/>
        </w:rPr>
      </w:pPr>
      <w:r>
        <w:rPr>
          <w:rFonts w:ascii="宋体" w:hAnsi="宋体"/>
          <w:sz w:val="24"/>
        </w:rPr>
        <w:t>2.程序</w:t>
      </w:r>
    </w:p>
    <w:p w:rsidR="00EF58AF" w:rsidRDefault="003764FD">
      <w:pPr>
        <w:spacing w:line="360" w:lineRule="auto"/>
        <w:ind w:firstLineChars="200" w:firstLine="480"/>
        <w:contextualSpacing/>
        <w:rPr>
          <w:rFonts w:ascii="宋体" w:hAnsi="宋体"/>
          <w:sz w:val="24"/>
        </w:rPr>
      </w:pPr>
      <w:r>
        <w:rPr>
          <w:rFonts w:ascii="宋体" w:hAnsi="宋体" w:hint="eastAsia"/>
          <w:sz w:val="24"/>
        </w:rPr>
        <w:t>按有关规定须经基金托管人复核的信息披露文件，由基金管理人起草、并经基金托管人复核后由基金管理人公告。发生基金合同中规定需要披露的事项时，按基金合同规定公布。</w:t>
      </w:r>
    </w:p>
    <w:p w:rsidR="00EF58AF" w:rsidRDefault="003764FD">
      <w:pPr>
        <w:spacing w:line="360" w:lineRule="auto"/>
        <w:ind w:firstLineChars="200" w:firstLine="480"/>
        <w:contextualSpacing/>
        <w:rPr>
          <w:rFonts w:ascii="宋体" w:hAnsi="宋体"/>
          <w:sz w:val="24"/>
        </w:rPr>
      </w:pPr>
      <w:r>
        <w:rPr>
          <w:rFonts w:ascii="宋体" w:hAnsi="宋体"/>
          <w:sz w:val="24"/>
        </w:rPr>
        <w:t>3.信息文本的存放</w:t>
      </w:r>
    </w:p>
    <w:p w:rsidR="00EF58AF" w:rsidRDefault="003764FD">
      <w:pPr>
        <w:pStyle w:val="a0"/>
        <w:spacing w:line="360" w:lineRule="auto"/>
        <w:ind w:firstLine="480"/>
        <w:contextualSpacing/>
        <w:rPr>
          <w:rFonts w:ascii="宋体" w:hAnsi="宋体"/>
          <w:sz w:val="24"/>
        </w:rPr>
      </w:pPr>
      <w:r>
        <w:rPr>
          <w:rFonts w:ascii="宋体" w:hAnsi="宋体" w:hint="eastAsia"/>
          <w:sz w:val="24"/>
        </w:rPr>
        <w:t>依法必须披露的信息发布后，基金管理人、基金托管人应当按照相关法律法规规定将信息置备于各自住所，供社会公众查阅、复制。在支付工本费后可在合理时间获得上述文件的复制件或复印件。基金管理人和基金托管人应保证文本的内容与所公告的内容完全一致。</w:t>
      </w:r>
    </w:p>
    <w:bookmarkEnd w:id="138"/>
    <w:p w:rsidR="00EF58AF" w:rsidRDefault="00EF58AF">
      <w:pPr>
        <w:pStyle w:val="a0"/>
        <w:spacing w:line="360" w:lineRule="auto"/>
        <w:ind w:firstLine="480"/>
        <w:contextualSpacing/>
        <w:rPr>
          <w:rFonts w:ascii="宋体" w:hAnsi="宋体"/>
          <w:sz w:val="24"/>
        </w:rPr>
        <w:sectPr w:rsidR="00EF58AF">
          <w:footerReference w:type="default" r:id="rId63"/>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40" w:name="_Toc3276858"/>
      <w:bookmarkStart w:id="141" w:name="_Toc384992701"/>
      <w:bookmarkStart w:id="142" w:name="_Toc348082039"/>
      <w:bookmarkStart w:id="143" w:name="CLAUSE_f1999dfefdd042ebbbe1c40830c3d358"/>
      <w:r>
        <w:rPr>
          <w:rFonts w:ascii="宋体" w:eastAsia="宋体" w:hAnsi="宋体"/>
        </w:rPr>
        <w:lastRenderedPageBreak/>
        <w:t xml:space="preserve"> </w:t>
      </w:r>
      <w:bookmarkStart w:id="144" w:name="CTS_f1999dfefdd042ebbbe1c40830c3d358"/>
      <w:bookmarkEnd w:id="144"/>
      <w:r>
        <w:rPr>
          <w:rFonts w:ascii="宋体" w:eastAsia="宋体" w:hAnsi="宋体"/>
        </w:rPr>
        <w:t xml:space="preserve">  </w:t>
      </w:r>
      <w:r>
        <w:rPr>
          <w:rFonts w:ascii="宋体" w:eastAsia="宋体" w:hAnsi="宋体" w:hint="eastAsia"/>
        </w:rPr>
        <w:t>基金费用</w:t>
      </w:r>
      <w:bookmarkEnd w:id="140"/>
      <w:bookmarkEnd w:id="141"/>
      <w:bookmarkEnd w:id="142"/>
    </w:p>
    <w:bookmarkEnd w:id="143"/>
    <w:p w:rsidR="00EF58AF" w:rsidRDefault="003764FD">
      <w:pPr>
        <w:spacing w:line="360" w:lineRule="auto"/>
        <w:ind w:firstLineChars="200" w:firstLine="480"/>
        <w:rPr>
          <w:rFonts w:ascii="宋体" w:hAnsi="宋体"/>
          <w:sz w:val="24"/>
        </w:rPr>
      </w:pPr>
      <w:r>
        <w:rPr>
          <w:rFonts w:ascii="宋体" w:hAnsi="宋体" w:hint="eastAsia"/>
          <w:sz w:val="24"/>
        </w:rPr>
        <w:t>（一）基金管理人的管理费</w:t>
      </w:r>
    </w:p>
    <w:p w:rsidR="00EF58AF" w:rsidRDefault="003764FD">
      <w:pPr>
        <w:spacing w:line="360" w:lineRule="auto"/>
        <w:ind w:firstLineChars="200" w:firstLine="480"/>
        <w:rPr>
          <w:rFonts w:ascii="宋体" w:hAnsi="宋体"/>
          <w:sz w:val="24"/>
        </w:rPr>
      </w:pPr>
      <w:r>
        <w:rPr>
          <w:rFonts w:ascii="宋体" w:hAnsi="宋体" w:hint="eastAsia"/>
          <w:sz w:val="24"/>
        </w:rPr>
        <w:t>本基金的管理费按前一日基金资产净值的</w:t>
      </w:r>
      <w:r w:rsidR="00494816">
        <w:rPr>
          <w:rFonts w:ascii="宋体" w:hAnsi="宋体" w:hint="eastAsia"/>
          <w:sz w:val="24"/>
        </w:rPr>
        <w:t>1</w:t>
      </w:r>
      <w:r w:rsidR="00494816">
        <w:rPr>
          <w:rFonts w:ascii="宋体" w:hAnsi="宋体"/>
          <w:sz w:val="24"/>
        </w:rPr>
        <w:t>.20</w:t>
      </w:r>
      <w:r w:rsidR="00494816">
        <w:rPr>
          <w:rFonts w:ascii="宋体" w:hAnsi="宋体" w:hint="eastAsia"/>
          <w:sz w:val="24"/>
        </w:rPr>
        <w:t>%</w:t>
      </w:r>
      <w:r>
        <w:rPr>
          <w:rFonts w:ascii="宋体" w:hAnsi="宋体" w:hint="eastAsia"/>
          <w:sz w:val="24"/>
        </w:rPr>
        <w:t>年费率计提。管理费的计算方法如下：</w:t>
      </w:r>
    </w:p>
    <w:p w:rsidR="00EF58AF" w:rsidRDefault="003764FD">
      <w:pPr>
        <w:spacing w:line="360" w:lineRule="auto"/>
        <w:ind w:firstLineChars="200" w:firstLine="480"/>
        <w:rPr>
          <w:rFonts w:ascii="宋体" w:hAnsi="宋体"/>
          <w:sz w:val="24"/>
        </w:rPr>
      </w:pPr>
      <w:r>
        <w:rPr>
          <w:rFonts w:ascii="宋体" w:hAnsi="宋体"/>
          <w:sz w:val="24"/>
        </w:rPr>
        <w:t>H</w:t>
      </w:r>
      <w:r>
        <w:rPr>
          <w:rFonts w:ascii="宋体" w:hAnsi="宋体" w:hint="eastAsia"/>
          <w:sz w:val="24"/>
        </w:rPr>
        <w:t>＝</w:t>
      </w:r>
      <w:r>
        <w:rPr>
          <w:rFonts w:ascii="宋体" w:hAnsi="宋体"/>
          <w:sz w:val="24"/>
        </w:rPr>
        <w:t>E×</w:t>
      </w:r>
      <w:r w:rsidR="00062381">
        <w:rPr>
          <w:rFonts w:ascii="宋体" w:hAnsi="宋体"/>
          <w:bCs/>
          <w:sz w:val="24"/>
        </w:rPr>
        <w:t>1.2</w:t>
      </w:r>
      <w:r w:rsidR="00494816">
        <w:rPr>
          <w:rFonts w:ascii="宋体" w:hAnsi="宋体"/>
          <w:bCs/>
          <w:sz w:val="24"/>
        </w:rPr>
        <w:t>0</w:t>
      </w:r>
      <w:r w:rsidR="00062381">
        <w:rPr>
          <w:rFonts w:ascii="宋体" w:hAnsi="宋体"/>
          <w:bCs/>
          <w:sz w:val="24"/>
        </w:rPr>
        <w:t>%</w:t>
      </w:r>
      <w:r>
        <w:rPr>
          <w:rFonts w:ascii="宋体" w:hAnsi="宋体"/>
          <w:sz w:val="24"/>
        </w:rPr>
        <w:t>÷</w:t>
      </w:r>
      <w:r>
        <w:rPr>
          <w:rFonts w:ascii="宋体" w:hAnsi="宋体" w:hint="eastAsia"/>
          <w:sz w:val="24"/>
        </w:rPr>
        <w:t>当年天数</w:t>
      </w:r>
    </w:p>
    <w:p w:rsidR="00EF58AF" w:rsidRDefault="003764FD">
      <w:pPr>
        <w:spacing w:line="360" w:lineRule="auto"/>
        <w:ind w:firstLineChars="200" w:firstLine="480"/>
        <w:rPr>
          <w:rFonts w:ascii="宋体" w:hAnsi="宋体"/>
          <w:bCs/>
          <w:sz w:val="24"/>
        </w:rPr>
      </w:pPr>
      <w:r>
        <w:rPr>
          <w:rFonts w:ascii="宋体" w:hAnsi="宋体"/>
          <w:bCs/>
          <w:sz w:val="24"/>
        </w:rPr>
        <w:t>H为每日应计提的基金管理费</w:t>
      </w:r>
    </w:p>
    <w:p w:rsidR="00EF58AF" w:rsidRDefault="003764FD">
      <w:pPr>
        <w:spacing w:line="360" w:lineRule="auto"/>
        <w:ind w:firstLineChars="200" w:firstLine="480"/>
        <w:rPr>
          <w:rFonts w:ascii="宋体" w:hAnsi="宋体"/>
          <w:bCs/>
          <w:sz w:val="24"/>
        </w:rPr>
      </w:pPr>
      <w:r>
        <w:rPr>
          <w:rFonts w:ascii="宋体" w:hAnsi="宋体"/>
          <w:bCs/>
          <w:sz w:val="24"/>
        </w:rPr>
        <w:t>E为前一日的基金资产净值</w:t>
      </w:r>
    </w:p>
    <w:p w:rsidR="00EF58AF" w:rsidRDefault="003764FD">
      <w:pPr>
        <w:spacing w:line="360" w:lineRule="auto"/>
        <w:ind w:firstLineChars="200" w:firstLine="480"/>
        <w:rPr>
          <w:rFonts w:ascii="宋体" w:hAnsi="宋体"/>
          <w:bCs/>
          <w:sz w:val="24"/>
        </w:rPr>
      </w:pPr>
      <w:r>
        <w:rPr>
          <w:rFonts w:ascii="宋体" w:hAnsi="宋体"/>
          <w:bCs/>
          <w:sz w:val="24"/>
        </w:rPr>
        <w:t>基金管理费每日计</w:t>
      </w:r>
      <w:r>
        <w:rPr>
          <w:rFonts w:ascii="宋体" w:hAnsi="宋体" w:hint="eastAsia"/>
          <w:bCs/>
          <w:sz w:val="24"/>
        </w:rPr>
        <w:t>提</w:t>
      </w:r>
      <w:r>
        <w:rPr>
          <w:rFonts w:ascii="宋体" w:hAnsi="宋体"/>
          <w:bCs/>
          <w:sz w:val="24"/>
        </w:rPr>
        <w:t>，逐日累计至每月月末，按月支付，</w:t>
      </w:r>
      <w:r>
        <w:rPr>
          <w:rFonts w:ascii="宋体" w:hAnsi="宋体" w:hint="eastAsia"/>
          <w:bCs/>
          <w:sz w:val="24"/>
        </w:rPr>
        <w:t>经基金管理人与基金托管人双方核对无误后，基金托管人按照</w:t>
      </w:r>
      <w:r>
        <w:rPr>
          <w:rFonts w:ascii="宋体" w:hAnsi="宋体" w:hint="eastAsia"/>
          <w:sz w:val="24"/>
        </w:rPr>
        <w:t>与基金管理人协商一致的方式</w:t>
      </w:r>
      <w:r>
        <w:rPr>
          <w:rFonts w:ascii="宋体" w:hAnsi="宋体" w:hint="eastAsia"/>
          <w:bCs/>
          <w:sz w:val="24"/>
        </w:rPr>
        <w:t>于次月首日起5个工作日内从基金财产中一次性支付给基金管理人。</w:t>
      </w:r>
      <w:r>
        <w:rPr>
          <w:rFonts w:ascii="宋体" w:hAnsi="宋体"/>
          <w:bCs/>
          <w:sz w:val="24"/>
        </w:rPr>
        <w:t>若遇法定节假日、公休假等</w:t>
      </w:r>
      <w:r>
        <w:rPr>
          <w:rFonts w:ascii="宋体" w:hAnsi="宋体" w:hint="eastAsia"/>
          <w:bCs/>
          <w:sz w:val="24"/>
        </w:rPr>
        <w:t>，</w:t>
      </w:r>
      <w:r>
        <w:rPr>
          <w:rFonts w:ascii="宋体" w:hAnsi="宋体"/>
          <w:bCs/>
          <w:sz w:val="24"/>
        </w:rPr>
        <w:t>支付日期顺延。</w:t>
      </w:r>
    </w:p>
    <w:p w:rsidR="00EF58AF" w:rsidRDefault="003764FD">
      <w:pPr>
        <w:spacing w:line="360" w:lineRule="auto"/>
        <w:ind w:firstLineChars="200" w:firstLine="480"/>
        <w:rPr>
          <w:rFonts w:ascii="宋体" w:hAnsi="宋体"/>
          <w:bCs/>
          <w:sz w:val="24"/>
        </w:rPr>
      </w:pPr>
      <w:r>
        <w:rPr>
          <w:rFonts w:ascii="宋体" w:hAnsi="宋体" w:hint="eastAsia"/>
          <w:bCs/>
          <w:sz w:val="24"/>
        </w:rPr>
        <w:t>（二）</w:t>
      </w:r>
      <w:r>
        <w:rPr>
          <w:rFonts w:ascii="宋体" w:hAnsi="宋体"/>
          <w:bCs/>
          <w:sz w:val="24"/>
        </w:rPr>
        <w:t>基金托管人的托管费</w:t>
      </w:r>
    </w:p>
    <w:p w:rsidR="00EF58AF" w:rsidRDefault="003764FD">
      <w:pPr>
        <w:spacing w:line="360" w:lineRule="auto"/>
        <w:ind w:firstLineChars="200" w:firstLine="480"/>
        <w:rPr>
          <w:rFonts w:ascii="宋体" w:hAnsi="宋体"/>
          <w:sz w:val="24"/>
        </w:rPr>
      </w:pPr>
      <w:r>
        <w:rPr>
          <w:rFonts w:ascii="宋体" w:hAnsi="宋体"/>
          <w:bCs/>
          <w:sz w:val="24"/>
        </w:rPr>
        <w:t>本基金的托管费按前一日基金资产净值的0.</w:t>
      </w:r>
      <w:r w:rsidR="00062381">
        <w:rPr>
          <w:rFonts w:ascii="宋体" w:hAnsi="宋体"/>
          <w:bCs/>
          <w:sz w:val="24"/>
        </w:rPr>
        <w:t>20</w:t>
      </w:r>
      <w:r>
        <w:rPr>
          <w:rFonts w:ascii="宋体" w:hAnsi="宋体"/>
          <w:sz w:val="24"/>
        </w:rPr>
        <w:t>%</w:t>
      </w:r>
      <w:r>
        <w:rPr>
          <w:rFonts w:ascii="宋体" w:hAnsi="宋体" w:hint="eastAsia"/>
          <w:sz w:val="24"/>
        </w:rPr>
        <w:t>的年费率计提。托管费的计算方法如下：</w:t>
      </w:r>
    </w:p>
    <w:p w:rsidR="00EF58AF" w:rsidRDefault="003764FD">
      <w:pPr>
        <w:spacing w:line="360" w:lineRule="auto"/>
        <w:ind w:firstLineChars="200" w:firstLine="480"/>
        <w:rPr>
          <w:rFonts w:ascii="宋体" w:hAnsi="宋体"/>
          <w:sz w:val="24"/>
        </w:rPr>
      </w:pPr>
      <w:r>
        <w:rPr>
          <w:rFonts w:ascii="宋体" w:hAnsi="宋体"/>
          <w:sz w:val="24"/>
        </w:rPr>
        <w:t>H</w:t>
      </w:r>
      <w:r>
        <w:rPr>
          <w:rFonts w:ascii="宋体" w:hAnsi="宋体" w:hint="eastAsia"/>
          <w:sz w:val="24"/>
        </w:rPr>
        <w:t>＝</w:t>
      </w:r>
      <w:r>
        <w:rPr>
          <w:rFonts w:ascii="宋体" w:hAnsi="宋体"/>
          <w:sz w:val="24"/>
        </w:rPr>
        <w:t>E×</w:t>
      </w:r>
      <w:r>
        <w:rPr>
          <w:rFonts w:ascii="宋体" w:hAnsi="宋体"/>
          <w:bCs/>
          <w:sz w:val="24"/>
        </w:rPr>
        <w:t>0.</w:t>
      </w:r>
      <w:r w:rsidR="00062381">
        <w:rPr>
          <w:rFonts w:ascii="宋体" w:hAnsi="宋体"/>
          <w:bCs/>
          <w:sz w:val="24"/>
        </w:rPr>
        <w:t>20</w:t>
      </w:r>
      <w:r>
        <w:rPr>
          <w:rFonts w:ascii="宋体" w:hAnsi="宋体"/>
          <w:sz w:val="24"/>
        </w:rPr>
        <w:t>%÷</w:t>
      </w:r>
      <w:r>
        <w:rPr>
          <w:rFonts w:ascii="宋体" w:hAnsi="宋体" w:hint="eastAsia"/>
          <w:sz w:val="24"/>
        </w:rPr>
        <w:t>当年天数</w:t>
      </w:r>
    </w:p>
    <w:p w:rsidR="00EF58AF" w:rsidRDefault="003764FD">
      <w:pPr>
        <w:spacing w:line="360" w:lineRule="auto"/>
        <w:ind w:firstLineChars="200" w:firstLine="480"/>
        <w:rPr>
          <w:rFonts w:ascii="宋体" w:hAnsi="宋体"/>
          <w:sz w:val="24"/>
        </w:rPr>
      </w:pPr>
      <w:r>
        <w:rPr>
          <w:rFonts w:ascii="宋体" w:hAnsi="宋体"/>
          <w:sz w:val="24"/>
        </w:rPr>
        <w:t>H</w:t>
      </w:r>
      <w:r>
        <w:rPr>
          <w:rFonts w:ascii="宋体" w:hAnsi="宋体" w:hint="eastAsia"/>
          <w:sz w:val="24"/>
        </w:rPr>
        <w:t>为每日应计提的基金托管费</w:t>
      </w:r>
    </w:p>
    <w:p w:rsidR="00EF58AF" w:rsidRDefault="003764FD">
      <w:pPr>
        <w:spacing w:line="360" w:lineRule="auto"/>
        <w:ind w:firstLineChars="200" w:firstLine="480"/>
        <w:rPr>
          <w:rFonts w:ascii="宋体" w:hAnsi="宋体"/>
          <w:sz w:val="24"/>
        </w:rPr>
      </w:pPr>
      <w:r>
        <w:rPr>
          <w:rFonts w:ascii="宋体" w:hAnsi="宋体"/>
          <w:sz w:val="24"/>
        </w:rPr>
        <w:t>E</w:t>
      </w:r>
      <w:r>
        <w:rPr>
          <w:rFonts w:ascii="宋体" w:hAnsi="宋体" w:hint="eastAsia"/>
          <w:sz w:val="24"/>
        </w:rPr>
        <w:t>为前一日的基金资产净值</w:t>
      </w:r>
    </w:p>
    <w:p w:rsidR="00EF58AF" w:rsidRDefault="003764FD">
      <w:pPr>
        <w:spacing w:line="360" w:lineRule="auto"/>
        <w:ind w:firstLineChars="200" w:firstLine="480"/>
        <w:rPr>
          <w:rFonts w:ascii="宋体" w:hAnsi="宋体"/>
          <w:sz w:val="24"/>
        </w:rPr>
      </w:pPr>
      <w:r>
        <w:rPr>
          <w:rFonts w:ascii="宋体" w:hAnsi="宋体" w:hint="eastAsia"/>
          <w:sz w:val="24"/>
        </w:rPr>
        <w:t>基金托管费每日计提，逐日累计至每月月末，按月支付，经基金管理人与基金托管人双方核对无误后，基金托管人按照与基金管理人协商一致的方式于次月首日起</w:t>
      </w:r>
      <w:r>
        <w:rPr>
          <w:rFonts w:ascii="宋体" w:hAnsi="宋体"/>
          <w:sz w:val="24"/>
        </w:rPr>
        <w:t>5</w:t>
      </w:r>
      <w:r>
        <w:rPr>
          <w:rFonts w:ascii="宋体" w:hAnsi="宋体" w:hint="eastAsia"/>
          <w:sz w:val="24"/>
        </w:rPr>
        <w:t>个工作日内从基金财产中一次性支取。若遇法定节假日、公</w:t>
      </w:r>
      <w:r>
        <w:rPr>
          <w:rFonts w:ascii="宋体" w:hAnsi="宋体"/>
          <w:bCs/>
          <w:sz w:val="24"/>
        </w:rPr>
        <w:t>休日</w:t>
      </w:r>
      <w:r>
        <w:rPr>
          <w:rFonts w:ascii="宋体" w:hAnsi="宋体" w:hint="eastAsia"/>
          <w:sz w:val="24"/>
        </w:rPr>
        <w:t>等，支付日期顺延。</w:t>
      </w:r>
    </w:p>
    <w:p w:rsidR="00EF58AF" w:rsidRDefault="003764FD">
      <w:pPr>
        <w:spacing w:line="360" w:lineRule="auto"/>
        <w:ind w:firstLineChars="200" w:firstLine="480"/>
        <w:rPr>
          <w:rFonts w:ascii="宋体" w:hAnsi="宋体"/>
          <w:bCs/>
          <w:sz w:val="24"/>
        </w:rPr>
      </w:pPr>
      <w:r>
        <w:rPr>
          <w:rFonts w:ascii="宋体" w:hAnsi="宋体" w:hint="eastAsia"/>
          <w:bCs/>
          <w:sz w:val="24"/>
        </w:rPr>
        <w:t>（三）基金销售服务费</w:t>
      </w:r>
    </w:p>
    <w:p w:rsidR="00EF58AF" w:rsidRDefault="003764FD">
      <w:pPr>
        <w:spacing w:line="360" w:lineRule="auto"/>
        <w:ind w:firstLineChars="200" w:firstLine="480"/>
        <w:rPr>
          <w:rFonts w:ascii="宋体" w:hAnsi="宋体"/>
          <w:bCs/>
          <w:sz w:val="24"/>
        </w:rPr>
      </w:pPr>
      <w:r>
        <w:rPr>
          <w:rFonts w:ascii="宋体" w:hAnsi="宋体" w:hint="eastAsia"/>
          <w:bCs/>
          <w:sz w:val="24"/>
        </w:rPr>
        <w:t>本基金A类基金份额不收取销售服务费，</w:t>
      </w:r>
      <w:r>
        <w:rPr>
          <w:rFonts w:ascii="宋体" w:hAnsi="宋体"/>
          <w:bCs/>
          <w:sz w:val="24"/>
        </w:rPr>
        <w:t>C类基金份额和E类基金份额分别从本类别份额基金资产中计</w:t>
      </w:r>
      <w:proofErr w:type="gramStart"/>
      <w:r>
        <w:rPr>
          <w:rFonts w:ascii="宋体" w:hAnsi="宋体"/>
          <w:bCs/>
          <w:sz w:val="24"/>
        </w:rPr>
        <w:t>提销售</w:t>
      </w:r>
      <w:proofErr w:type="gramEnd"/>
      <w:r>
        <w:rPr>
          <w:rFonts w:ascii="宋体" w:hAnsi="宋体"/>
          <w:bCs/>
          <w:sz w:val="24"/>
        </w:rPr>
        <w:t>服务费。</w:t>
      </w:r>
    </w:p>
    <w:p w:rsidR="00EF58AF" w:rsidRDefault="003764FD">
      <w:pPr>
        <w:spacing w:line="360" w:lineRule="auto"/>
        <w:ind w:firstLineChars="200" w:firstLine="480"/>
        <w:rPr>
          <w:rFonts w:ascii="宋体" w:hAnsi="宋体"/>
          <w:bCs/>
          <w:sz w:val="24"/>
        </w:rPr>
      </w:pPr>
      <w:r>
        <w:rPr>
          <w:rFonts w:ascii="宋体" w:hAnsi="宋体" w:hint="eastAsia"/>
          <w:bCs/>
          <w:sz w:val="24"/>
        </w:rPr>
        <w:t>（1）C类基金份额的销售服务费年费率为</w:t>
      </w:r>
      <w:r>
        <w:rPr>
          <w:rFonts w:ascii="宋体" w:hAnsi="宋体"/>
          <w:bCs/>
          <w:sz w:val="24"/>
        </w:rPr>
        <w:t>0.8</w:t>
      </w:r>
      <w:r>
        <w:rPr>
          <w:rFonts w:ascii="宋体" w:hAnsi="宋体" w:hint="eastAsia"/>
          <w:bCs/>
          <w:sz w:val="24"/>
        </w:rPr>
        <w:t>%。销售服务费计提的计算公式如下：</w:t>
      </w:r>
    </w:p>
    <w:p w:rsidR="00EF58AF" w:rsidRDefault="003764FD">
      <w:pPr>
        <w:spacing w:line="360" w:lineRule="auto"/>
        <w:ind w:firstLineChars="200" w:firstLine="480"/>
        <w:rPr>
          <w:rFonts w:ascii="宋体" w:hAnsi="宋体"/>
          <w:bCs/>
          <w:sz w:val="24"/>
        </w:rPr>
      </w:pPr>
      <w:r>
        <w:rPr>
          <w:rFonts w:ascii="宋体" w:hAnsi="宋体" w:hint="eastAsia"/>
          <w:bCs/>
          <w:sz w:val="24"/>
        </w:rPr>
        <w:t>H=E×</w:t>
      </w:r>
      <w:r>
        <w:rPr>
          <w:rFonts w:ascii="宋体" w:hAnsi="宋体"/>
          <w:bCs/>
          <w:sz w:val="24"/>
        </w:rPr>
        <w:t>0.8</w:t>
      </w:r>
      <w:r>
        <w:rPr>
          <w:rFonts w:ascii="宋体" w:hAnsi="宋体" w:hint="eastAsia"/>
          <w:bCs/>
          <w:sz w:val="24"/>
        </w:rPr>
        <w:t>%÷当年天数</w:t>
      </w:r>
    </w:p>
    <w:p w:rsidR="00EF58AF" w:rsidRDefault="003764FD">
      <w:pPr>
        <w:spacing w:line="360" w:lineRule="auto"/>
        <w:ind w:firstLineChars="200" w:firstLine="480"/>
        <w:rPr>
          <w:rFonts w:ascii="宋体" w:hAnsi="宋体"/>
          <w:bCs/>
          <w:sz w:val="24"/>
        </w:rPr>
      </w:pPr>
      <w:r>
        <w:rPr>
          <w:rFonts w:ascii="宋体" w:hAnsi="宋体" w:hint="eastAsia"/>
          <w:bCs/>
          <w:sz w:val="24"/>
        </w:rPr>
        <w:t>H为C类基金份额每日应计提的销售服务费</w:t>
      </w:r>
    </w:p>
    <w:p w:rsidR="00EF58AF" w:rsidRDefault="003764FD">
      <w:pPr>
        <w:spacing w:line="360" w:lineRule="auto"/>
        <w:ind w:firstLineChars="200" w:firstLine="480"/>
        <w:rPr>
          <w:rFonts w:ascii="宋体" w:hAnsi="宋体"/>
          <w:bCs/>
          <w:sz w:val="24"/>
        </w:rPr>
      </w:pPr>
      <w:r>
        <w:rPr>
          <w:rFonts w:ascii="宋体" w:hAnsi="宋体" w:hint="eastAsia"/>
          <w:bCs/>
          <w:sz w:val="24"/>
        </w:rPr>
        <w:lastRenderedPageBreak/>
        <w:t>E为C类基金份额前一日的基金资产净值</w:t>
      </w:r>
    </w:p>
    <w:p w:rsidR="00EF58AF" w:rsidRDefault="003764FD">
      <w:pPr>
        <w:spacing w:line="360" w:lineRule="auto"/>
        <w:ind w:firstLineChars="200" w:firstLine="480"/>
        <w:rPr>
          <w:rFonts w:ascii="宋体" w:hAnsi="宋体"/>
          <w:bCs/>
          <w:sz w:val="24"/>
        </w:rPr>
      </w:pPr>
      <w:r>
        <w:rPr>
          <w:rFonts w:ascii="宋体" w:hAnsi="宋体" w:hint="eastAsia"/>
          <w:bCs/>
          <w:sz w:val="24"/>
        </w:rPr>
        <w:t>（2）E类基金份额的销售服务费年费率为</w:t>
      </w:r>
      <w:r>
        <w:rPr>
          <w:rFonts w:ascii="宋体" w:hAnsi="宋体"/>
          <w:bCs/>
          <w:sz w:val="24"/>
        </w:rPr>
        <w:t>0</w:t>
      </w:r>
      <w:r>
        <w:rPr>
          <w:rFonts w:ascii="宋体" w:hAnsi="宋体" w:hint="eastAsia"/>
          <w:bCs/>
          <w:sz w:val="24"/>
        </w:rPr>
        <w:t>.5%。销售服务费计提的计算公式如下：</w:t>
      </w:r>
    </w:p>
    <w:p w:rsidR="00EF58AF" w:rsidRDefault="003764FD">
      <w:pPr>
        <w:spacing w:line="360" w:lineRule="auto"/>
        <w:ind w:firstLineChars="200" w:firstLine="480"/>
        <w:rPr>
          <w:rFonts w:ascii="宋体" w:hAnsi="宋体"/>
          <w:bCs/>
          <w:sz w:val="24"/>
        </w:rPr>
      </w:pPr>
      <w:r>
        <w:rPr>
          <w:rFonts w:ascii="宋体" w:hAnsi="宋体" w:hint="eastAsia"/>
          <w:bCs/>
          <w:sz w:val="24"/>
        </w:rPr>
        <w:t>H=E×</w:t>
      </w:r>
      <w:r>
        <w:rPr>
          <w:rFonts w:ascii="宋体" w:hAnsi="宋体"/>
          <w:bCs/>
          <w:sz w:val="24"/>
        </w:rPr>
        <w:t>0</w:t>
      </w:r>
      <w:r>
        <w:rPr>
          <w:rFonts w:ascii="宋体" w:hAnsi="宋体" w:hint="eastAsia"/>
          <w:bCs/>
          <w:sz w:val="24"/>
        </w:rPr>
        <w:t>.5%÷当年天数</w:t>
      </w:r>
    </w:p>
    <w:p w:rsidR="00EF58AF" w:rsidRDefault="003764FD">
      <w:pPr>
        <w:spacing w:line="360" w:lineRule="auto"/>
        <w:ind w:firstLineChars="200" w:firstLine="480"/>
        <w:rPr>
          <w:rFonts w:ascii="宋体" w:hAnsi="宋体"/>
          <w:bCs/>
          <w:sz w:val="24"/>
        </w:rPr>
      </w:pPr>
      <w:r>
        <w:rPr>
          <w:rFonts w:ascii="宋体" w:hAnsi="宋体" w:hint="eastAsia"/>
          <w:bCs/>
          <w:sz w:val="24"/>
        </w:rPr>
        <w:t>H为</w:t>
      </w:r>
      <w:r>
        <w:rPr>
          <w:rFonts w:ascii="宋体" w:hAnsi="宋体"/>
          <w:bCs/>
          <w:sz w:val="24"/>
        </w:rPr>
        <w:t>E</w:t>
      </w:r>
      <w:r>
        <w:rPr>
          <w:rFonts w:ascii="宋体" w:hAnsi="宋体" w:hint="eastAsia"/>
          <w:bCs/>
          <w:sz w:val="24"/>
        </w:rPr>
        <w:t>类基金份额每日应计提的销售服务费</w:t>
      </w:r>
    </w:p>
    <w:p w:rsidR="00EF58AF" w:rsidRDefault="003764FD">
      <w:pPr>
        <w:spacing w:line="360" w:lineRule="auto"/>
        <w:ind w:firstLineChars="200" w:firstLine="480"/>
        <w:rPr>
          <w:rFonts w:ascii="宋体" w:hAnsi="宋体"/>
          <w:bCs/>
          <w:sz w:val="24"/>
        </w:rPr>
      </w:pPr>
      <w:r>
        <w:rPr>
          <w:rFonts w:ascii="宋体" w:hAnsi="宋体" w:hint="eastAsia"/>
          <w:bCs/>
          <w:sz w:val="24"/>
        </w:rPr>
        <w:t>E为</w:t>
      </w:r>
      <w:r>
        <w:rPr>
          <w:rFonts w:ascii="宋体" w:hAnsi="宋体"/>
          <w:bCs/>
          <w:sz w:val="24"/>
        </w:rPr>
        <w:t>E</w:t>
      </w:r>
      <w:r>
        <w:rPr>
          <w:rFonts w:ascii="宋体" w:hAnsi="宋体" w:hint="eastAsia"/>
          <w:bCs/>
          <w:sz w:val="24"/>
        </w:rPr>
        <w:t>类基金份额前一日的基金资产净值</w:t>
      </w:r>
    </w:p>
    <w:p w:rsidR="00EF58AF" w:rsidRDefault="003764FD">
      <w:pPr>
        <w:spacing w:line="360" w:lineRule="auto"/>
        <w:ind w:firstLineChars="200" w:firstLine="480"/>
        <w:contextualSpacing/>
        <w:rPr>
          <w:rFonts w:ascii="宋体" w:hAnsi="宋体"/>
          <w:bCs/>
          <w:sz w:val="24"/>
        </w:rPr>
      </w:pPr>
      <w:r>
        <w:rPr>
          <w:color w:val="000000"/>
          <w:sz w:val="24"/>
        </w:rPr>
        <w:t>C</w:t>
      </w:r>
      <w:r>
        <w:rPr>
          <w:rFonts w:ascii="宋体" w:hAnsi="宋体"/>
          <w:color w:val="000000"/>
          <w:sz w:val="24"/>
        </w:rPr>
        <w:t>类基金份额和</w:t>
      </w:r>
      <w:r>
        <w:rPr>
          <w:color w:val="000000"/>
          <w:sz w:val="24"/>
        </w:rPr>
        <w:t>E</w:t>
      </w:r>
      <w:r>
        <w:rPr>
          <w:rFonts w:ascii="宋体" w:hAnsi="宋体"/>
          <w:color w:val="000000"/>
          <w:sz w:val="24"/>
        </w:rPr>
        <w:t>类基金份额的</w:t>
      </w:r>
      <w:r>
        <w:rPr>
          <w:rFonts w:ascii="宋体" w:hAnsi="宋体" w:hint="eastAsia"/>
          <w:bCs/>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p>
    <w:p w:rsidR="00EF58AF" w:rsidRDefault="003764FD">
      <w:pPr>
        <w:spacing w:line="360" w:lineRule="auto"/>
        <w:ind w:firstLineChars="200" w:firstLine="480"/>
        <w:contextualSpacing/>
        <w:rPr>
          <w:rFonts w:ascii="宋体" w:hAnsi="宋体"/>
          <w:bCs/>
          <w:sz w:val="24"/>
        </w:rPr>
      </w:pPr>
      <w:r>
        <w:rPr>
          <w:rFonts w:ascii="宋体" w:hAnsi="宋体" w:hint="eastAsia"/>
          <w:bCs/>
          <w:sz w:val="24"/>
        </w:rPr>
        <w:t>销售服务费将专门用于本基金的销售与基金份额持有人服务，基金管理人将在基金年度报告中对该项费用的列支情况作专项说明。</w:t>
      </w:r>
    </w:p>
    <w:p w:rsidR="00EF58AF" w:rsidRDefault="003764FD">
      <w:pPr>
        <w:spacing w:line="360" w:lineRule="auto"/>
        <w:ind w:firstLineChars="200" w:firstLine="480"/>
        <w:contextualSpacing/>
        <w:rPr>
          <w:rFonts w:ascii="宋体" w:hAnsi="宋体"/>
          <w:color w:val="000000"/>
          <w:sz w:val="24"/>
        </w:rPr>
        <w:sectPr w:rsidR="00EF58AF">
          <w:footerReference w:type="default" r:id="rId64"/>
          <w:pgSz w:w="11906" w:h="16838"/>
          <w:pgMar w:top="1418" w:right="1701" w:bottom="1418" w:left="1701" w:header="851" w:footer="992" w:gutter="0"/>
          <w:pgNumType w:start="1" w:chapStyle="1"/>
          <w:cols w:space="425"/>
          <w:docGrid w:type="lines" w:linePitch="312"/>
        </w:sectPr>
      </w:pPr>
      <w:r>
        <w:rPr>
          <w:rFonts w:ascii="宋体" w:hAnsi="宋体" w:hint="eastAsia"/>
          <w:bCs/>
          <w:sz w:val="24"/>
        </w:rPr>
        <w:t>本章节未明确的事项按照《基金合同》的约定执行。</w:t>
      </w: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45" w:name="_Toc3276859"/>
      <w:bookmarkStart w:id="146" w:name="_Toc384992702"/>
      <w:bookmarkStart w:id="147" w:name="_Toc348082040"/>
      <w:bookmarkStart w:id="148" w:name="CLAUSE_0422aebe02654a45964d03ac7f42cc7b"/>
      <w:r>
        <w:rPr>
          <w:rFonts w:ascii="宋体" w:eastAsia="宋体" w:hAnsi="宋体"/>
        </w:rPr>
        <w:lastRenderedPageBreak/>
        <w:t xml:space="preserve"> </w:t>
      </w:r>
      <w:bookmarkStart w:id="149" w:name="CTS_0422aebe02654a45964d03ac7f42cc7b"/>
      <w:bookmarkEnd w:id="149"/>
      <w:r>
        <w:rPr>
          <w:rFonts w:ascii="宋体" w:eastAsia="宋体" w:hAnsi="宋体"/>
        </w:rPr>
        <w:t xml:space="preserve">   </w:t>
      </w:r>
      <w:r>
        <w:rPr>
          <w:rFonts w:ascii="宋体" w:eastAsia="宋体" w:hAnsi="宋体" w:hint="eastAsia"/>
        </w:rPr>
        <w:t>基金份额持有人名册的保管</w:t>
      </w:r>
      <w:bookmarkEnd w:id="145"/>
      <w:bookmarkEnd w:id="146"/>
      <w:bookmarkEnd w:id="147"/>
    </w:p>
    <w:p w:rsidR="00EF58AF" w:rsidRDefault="003764FD">
      <w:pPr>
        <w:spacing w:line="360" w:lineRule="auto"/>
        <w:ind w:firstLineChars="200" w:firstLine="480"/>
        <w:contextualSpacing/>
        <w:rPr>
          <w:rFonts w:ascii="宋体" w:hAnsi="宋体"/>
          <w:sz w:val="24"/>
        </w:rPr>
      </w:pPr>
      <w:r>
        <w:rPr>
          <w:rFonts w:ascii="宋体" w:hAnsi="宋体" w:hint="eastAsia"/>
          <w:sz w:val="24"/>
        </w:rPr>
        <w:t>基金份额持有人名册至少应包括基金份额持有人的名称、证件号码和持有的基金份额。基金份额持有人名册由基金登记机构根据基金管理人的指令编制和保管，基金管理人和基金托管人应分别保管基金份额持有人名册，保存期不少于</w:t>
      </w:r>
      <w:r>
        <w:rPr>
          <w:rFonts w:ascii="宋体" w:hAnsi="宋体"/>
          <w:sz w:val="24"/>
        </w:rPr>
        <w:t>15年</w:t>
      </w:r>
      <w:r>
        <w:rPr>
          <w:rFonts w:ascii="宋体" w:hAnsi="宋体" w:hint="eastAsia"/>
          <w:sz w:val="24"/>
        </w:rPr>
        <w:t>，法律法规或监管机构另有规定的除外</w:t>
      </w:r>
      <w:r>
        <w:rPr>
          <w:rFonts w:ascii="宋体" w:hAnsi="宋体"/>
          <w:sz w:val="24"/>
        </w:rPr>
        <w:t>。如不能妥善保管，则按相关</w:t>
      </w:r>
      <w:r>
        <w:rPr>
          <w:rFonts w:ascii="宋体" w:hAnsi="宋体" w:hint="eastAsia"/>
          <w:sz w:val="24"/>
        </w:rPr>
        <w:t>法律法规承担责任。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在基金托管人要求或编制中期报告和</w:t>
      </w:r>
      <w:r>
        <w:rPr>
          <w:rFonts w:ascii="宋体" w:hAnsi="宋体"/>
          <w:sz w:val="24"/>
        </w:rPr>
        <w:t>年度报告</w:t>
      </w:r>
      <w:r>
        <w:rPr>
          <w:rFonts w:ascii="宋体" w:hAnsi="宋体" w:hint="eastAsia"/>
          <w:sz w:val="24"/>
        </w:rPr>
        <w:t>前，基金管理人应将有关资料送交基金托管人，不得无故拒绝或延误提供，并保证其的真实性、准确性和完整性。基金管理人和托管人不得将所保管的基金份额持有人名册用于基金托管业务以外的其他用途，并应遵守保密义务。</w:t>
      </w:r>
    </w:p>
    <w:bookmarkEnd w:id="148"/>
    <w:p w:rsidR="00EF58AF" w:rsidRDefault="00EF58AF">
      <w:pPr>
        <w:spacing w:line="360" w:lineRule="auto"/>
        <w:ind w:firstLineChars="200" w:firstLine="480"/>
        <w:contextualSpacing/>
        <w:rPr>
          <w:rFonts w:ascii="宋体" w:hAnsi="宋体"/>
          <w:sz w:val="24"/>
        </w:rPr>
        <w:sectPr w:rsidR="00EF58AF">
          <w:footerReference w:type="default" r:id="rId65"/>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50" w:name="_Toc348082041"/>
      <w:bookmarkStart w:id="151" w:name="_Toc3276860"/>
      <w:bookmarkStart w:id="152" w:name="_Toc384992703"/>
      <w:bookmarkStart w:id="153" w:name="CLAUSE_b85fcc6f0af54c569bb6bed1ba0fe2a0"/>
      <w:r>
        <w:rPr>
          <w:rFonts w:ascii="宋体" w:eastAsia="宋体" w:hAnsi="宋体"/>
        </w:rPr>
        <w:lastRenderedPageBreak/>
        <w:t xml:space="preserve"> </w:t>
      </w:r>
      <w:bookmarkStart w:id="154" w:name="CTS_b85fcc6f0af54c569bb6bed1ba0fe2a0"/>
      <w:bookmarkEnd w:id="154"/>
      <w:r>
        <w:rPr>
          <w:rFonts w:ascii="宋体" w:eastAsia="宋体" w:hAnsi="宋体"/>
        </w:rPr>
        <w:t xml:space="preserve">   </w:t>
      </w:r>
      <w:r>
        <w:rPr>
          <w:rFonts w:ascii="宋体" w:eastAsia="宋体" w:hAnsi="宋体" w:hint="eastAsia"/>
        </w:rPr>
        <w:t>基金有关文件档案的保存</w:t>
      </w:r>
      <w:bookmarkEnd w:id="150"/>
      <w:bookmarkEnd w:id="151"/>
      <w:bookmarkEnd w:id="152"/>
    </w:p>
    <w:p w:rsidR="00EF58AF" w:rsidRDefault="003764FD">
      <w:pPr>
        <w:spacing w:line="360" w:lineRule="auto"/>
        <w:ind w:firstLineChars="200" w:firstLine="480"/>
        <w:contextualSpacing/>
        <w:rPr>
          <w:rFonts w:ascii="宋体" w:hAnsi="宋体"/>
          <w:sz w:val="24"/>
        </w:rPr>
      </w:pPr>
      <w:r>
        <w:rPr>
          <w:rFonts w:ascii="宋体" w:hAnsi="宋体" w:hint="eastAsia"/>
          <w:sz w:val="24"/>
        </w:rPr>
        <w:t>（一）档案保存</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w:t>
      </w:r>
      <w:r>
        <w:rPr>
          <w:rFonts w:ascii="宋体" w:hAnsi="宋体"/>
          <w:sz w:val="24"/>
        </w:rPr>
        <w:t>15年</w:t>
      </w:r>
      <w:r>
        <w:rPr>
          <w:rFonts w:ascii="宋体" w:hAnsi="宋体" w:hint="eastAsia"/>
          <w:sz w:val="24"/>
        </w:rPr>
        <w:t>，法律法规或监管机构另有规定的除外</w:t>
      </w:r>
      <w:r>
        <w:rPr>
          <w:rFonts w:ascii="宋体" w:hAnsi="宋体"/>
          <w:sz w:val="24"/>
        </w:rPr>
        <w:t>。</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（二）合同档案的建立</w:t>
      </w:r>
    </w:p>
    <w:p w:rsidR="00EF58AF" w:rsidRDefault="003764FD">
      <w:pPr>
        <w:spacing w:line="360" w:lineRule="auto"/>
        <w:ind w:firstLineChars="200" w:firstLine="480"/>
        <w:contextualSpacing/>
        <w:rPr>
          <w:rFonts w:ascii="宋体" w:hAnsi="宋体"/>
          <w:sz w:val="24"/>
        </w:rPr>
      </w:pPr>
      <w:r>
        <w:rPr>
          <w:rFonts w:ascii="宋体" w:hAnsi="宋体"/>
          <w:sz w:val="24"/>
        </w:rPr>
        <w:t>1.基金管理人签署重大合同文本后，应及时将合同文本正本送达基金托管人处。</w:t>
      </w:r>
    </w:p>
    <w:p w:rsidR="00EF58AF" w:rsidRDefault="003764FD">
      <w:pPr>
        <w:spacing w:line="360" w:lineRule="auto"/>
        <w:ind w:firstLineChars="200" w:firstLine="480"/>
        <w:contextualSpacing/>
        <w:rPr>
          <w:rFonts w:ascii="宋体" w:hAnsi="宋体"/>
          <w:sz w:val="24"/>
        </w:rPr>
      </w:pPr>
      <w:r>
        <w:rPr>
          <w:rFonts w:ascii="宋体" w:hAnsi="宋体"/>
          <w:sz w:val="24"/>
        </w:rPr>
        <w:t>2.基金管理人应及时将与本基金账务处理、资金划拨等有关的合同、协议传真</w:t>
      </w:r>
      <w:r>
        <w:rPr>
          <w:rFonts w:ascii="宋体" w:hAnsi="宋体" w:hint="eastAsia"/>
          <w:sz w:val="24"/>
        </w:rPr>
        <w:t>或通过双方认可的其他方式发送至基金托管人。</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（三）变更与协助</w:t>
      </w:r>
    </w:p>
    <w:p w:rsidR="00EF58AF" w:rsidRDefault="003764FD">
      <w:pPr>
        <w:spacing w:line="360" w:lineRule="auto"/>
        <w:ind w:firstLineChars="200" w:firstLine="480"/>
        <w:contextualSpacing/>
        <w:rPr>
          <w:rFonts w:ascii="宋体" w:hAnsi="宋体"/>
          <w:sz w:val="24"/>
        </w:rPr>
      </w:pPr>
      <w:proofErr w:type="gramStart"/>
      <w:r>
        <w:rPr>
          <w:rFonts w:ascii="宋体" w:hAnsi="宋体" w:hint="eastAsia"/>
          <w:sz w:val="24"/>
        </w:rPr>
        <w:t>若基金</w:t>
      </w:r>
      <w:proofErr w:type="gramEnd"/>
      <w:r>
        <w:rPr>
          <w:rFonts w:ascii="宋体" w:hAnsi="宋体" w:hint="eastAsia"/>
          <w:sz w:val="24"/>
        </w:rPr>
        <w:t>管理人</w:t>
      </w:r>
      <w:r>
        <w:rPr>
          <w:rFonts w:ascii="宋体" w:hAnsi="宋体"/>
          <w:sz w:val="24"/>
        </w:rPr>
        <w:t>/基金托管人发生变更，未变更的一方有义务协助变更后的接任人接收相应文件。</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（四）基金管理人和基金托管人应按各自职责完整保存原始凭证、记账凭证、基金账册、交易记录和重要合同等，承担保密义务并保存至少十五年以上，法律法规或监管机构另有规定的除外。</w:t>
      </w:r>
    </w:p>
    <w:p w:rsidR="00EF58AF" w:rsidRDefault="00EF58AF">
      <w:pPr>
        <w:spacing w:line="360" w:lineRule="auto"/>
        <w:ind w:firstLineChars="200" w:firstLine="480"/>
        <w:contextualSpacing/>
        <w:rPr>
          <w:rFonts w:ascii="宋体" w:hAnsi="宋体"/>
          <w:sz w:val="24"/>
        </w:rPr>
      </w:pPr>
    </w:p>
    <w:bookmarkEnd w:id="153"/>
    <w:p w:rsidR="00EF58AF" w:rsidRDefault="00EF58AF">
      <w:pPr>
        <w:spacing w:line="360" w:lineRule="auto"/>
        <w:ind w:firstLineChars="200" w:firstLine="480"/>
        <w:contextualSpacing/>
        <w:rPr>
          <w:rFonts w:ascii="宋体" w:hAnsi="宋体"/>
          <w:sz w:val="24"/>
        </w:rPr>
        <w:sectPr w:rsidR="00EF58AF">
          <w:footerReference w:type="default" r:id="rId66"/>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55" w:name="_Toc348082042"/>
      <w:bookmarkStart w:id="156" w:name="_Toc384992704"/>
      <w:bookmarkStart w:id="157" w:name="_Toc3276861"/>
      <w:bookmarkStart w:id="158" w:name="CLAUSE_1c80864023b14515872c5ea4e90d1d45"/>
      <w:r>
        <w:rPr>
          <w:rFonts w:ascii="宋体" w:eastAsia="宋体" w:hAnsi="宋体"/>
        </w:rPr>
        <w:lastRenderedPageBreak/>
        <w:t xml:space="preserve"> </w:t>
      </w:r>
      <w:bookmarkStart w:id="159" w:name="CTS_1c80864023b14515872c5ea4e90d1d45"/>
      <w:bookmarkEnd w:id="159"/>
      <w:r>
        <w:rPr>
          <w:rFonts w:ascii="宋体" w:eastAsia="宋体" w:hAnsi="宋体"/>
        </w:rPr>
        <w:t xml:space="preserve">   </w:t>
      </w:r>
      <w:r>
        <w:rPr>
          <w:rFonts w:ascii="宋体" w:eastAsia="宋体" w:hAnsi="宋体" w:hint="eastAsia"/>
        </w:rPr>
        <w:t>基金管理人和基金托管人的更换</w:t>
      </w:r>
      <w:bookmarkEnd w:id="155"/>
      <w:bookmarkEnd w:id="156"/>
      <w:bookmarkEnd w:id="157"/>
    </w:p>
    <w:p w:rsidR="00EF58AF" w:rsidRDefault="003764FD">
      <w:pPr>
        <w:spacing w:line="360" w:lineRule="auto"/>
        <w:ind w:firstLineChars="200" w:firstLine="480"/>
        <w:contextualSpacing/>
        <w:rPr>
          <w:rFonts w:ascii="宋体" w:hAnsi="宋体"/>
          <w:kern w:val="0"/>
          <w:sz w:val="24"/>
        </w:rPr>
      </w:pPr>
      <w:r>
        <w:rPr>
          <w:rFonts w:ascii="宋体" w:hAnsi="宋体" w:hint="eastAsia"/>
          <w:sz w:val="24"/>
        </w:rPr>
        <w:t>（一）</w:t>
      </w:r>
      <w:r>
        <w:rPr>
          <w:rFonts w:ascii="宋体" w:hAnsi="宋体"/>
          <w:kern w:val="0"/>
          <w:sz w:val="24"/>
        </w:rPr>
        <w:t>基金管理人职责终止</w:t>
      </w:r>
      <w:r>
        <w:rPr>
          <w:rFonts w:ascii="宋体" w:hAnsi="宋体" w:hint="eastAsia"/>
          <w:kern w:val="0"/>
          <w:sz w:val="24"/>
        </w:rPr>
        <w:t>后</w:t>
      </w:r>
      <w:r>
        <w:rPr>
          <w:rFonts w:ascii="宋体" w:hAnsi="宋体"/>
          <w:kern w:val="0"/>
          <w:sz w:val="24"/>
        </w:rPr>
        <w:t>，</w:t>
      </w:r>
      <w:r>
        <w:rPr>
          <w:rFonts w:ascii="宋体" w:hAnsi="宋体" w:hint="eastAsia"/>
          <w:kern w:val="0"/>
          <w:sz w:val="24"/>
        </w:rPr>
        <w:t>仍</w:t>
      </w:r>
      <w:r>
        <w:rPr>
          <w:rFonts w:ascii="宋体" w:hAnsi="宋体"/>
          <w:kern w:val="0"/>
          <w:sz w:val="24"/>
        </w:rPr>
        <w:t>应妥善保管基金管理业务资料，</w:t>
      </w:r>
      <w:r>
        <w:rPr>
          <w:rFonts w:ascii="宋体" w:hAnsi="宋体" w:hint="eastAsia"/>
          <w:sz w:val="24"/>
        </w:rPr>
        <w:t>保证不做出对基金份额持有人的利益造成损害的行为，</w:t>
      </w:r>
      <w:r>
        <w:rPr>
          <w:rFonts w:ascii="宋体" w:hAnsi="宋体" w:hint="eastAsia"/>
          <w:kern w:val="0"/>
          <w:sz w:val="24"/>
        </w:rPr>
        <w:t>并与</w:t>
      </w:r>
      <w:proofErr w:type="gramStart"/>
      <w:r>
        <w:rPr>
          <w:rFonts w:ascii="宋体" w:hAnsi="宋体" w:hint="eastAsia"/>
          <w:kern w:val="0"/>
          <w:sz w:val="24"/>
        </w:rPr>
        <w:t>新任基金</w:t>
      </w:r>
      <w:proofErr w:type="gramEnd"/>
      <w:r>
        <w:rPr>
          <w:rFonts w:ascii="宋体" w:hAnsi="宋体" w:hint="eastAsia"/>
          <w:kern w:val="0"/>
          <w:sz w:val="24"/>
        </w:rPr>
        <w:t>管理人或临时基金管理人</w:t>
      </w:r>
      <w:r>
        <w:rPr>
          <w:rFonts w:ascii="宋体" w:hAnsi="宋体"/>
          <w:kern w:val="0"/>
          <w:sz w:val="24"/>
        </w:rPr>
        <w:t>及时办理基金管理业务的移交手续。</w:t>
      </w:r>
      <w:r>
        <w:rPr>
          <w:rFonts w:ascii="宋体" w:hAnsi="宋体" w:hint="eastAsia"/>
          <w:kern w:val="0"/>
          <w:sz w:val="24"/>
        </w:rPr>
        <w:t>基金托管人应给予积极配合，并与</w:t>
      </w:r>
      <w:proofErr w:type="gramStart"/>
      <w:r>
        <w:rPr>
          <w:rFonts w:ascii="宋体" w:hAnsi="宋体" w:hint="eastAsia"/>
          <w:kern w:val="0"/>
          <w:sz w:val="24"/>
        </w:rPr>
        <w:t>新任基金</w:t>
      </w:r>
      <w:proofErr w:type="gramEnd"/>
      <w:r>
        <w:rPr>
          <w:rFonts w:ascii="宋体" w:hAnsi="宋体" w:hint="eastAsia"/>
          <w:kern w:val="0"/>
          <w:sz w:val="24"/>
        </w:rPr>
        <w:t>管理人或临时基金管理人核对基金资产总值和基金资产净值。</w:t>
      </w:r>
    </w:p>
    <w:p w:rsidR="00EF58AF" w:rsidRDefault="003764FD">
      <w:pPr>
        <w:spacing w:line="360" w:lineRule="auto"/>
        <w:ind w:firstLineChars="200" w:firstLine="480"/>
        <w:contextualSpacing/>
        <w:rPr>
          <w:rFonts w:ascii="宋体" w:hAnsi="宋体"/>
          <w:kern w:val="0"/>
          <w:sz w:val="24"/>
        </w:rPr>
      </w:pPr>
      <w:r>
        <w:rPr>
          <w:rFonts w:ascii="宋体" w:hAnsi="宋体" w:hint="eastAsia"/>
          <w:sz w:val="24"/>
        </w:rPr>
        <w:t>（二）</w:t>
      </w:r>
      <w:r>
        <w:rPr>
          <w:rFonts w:ascii="宋体" w:hAnsi="宋体"/>
          <w:kern w:val="0"/>
          <w:sz w:val="24"/>
        </w:rPr>
        <w:t>基金托管人职责终止</w:t>
      </w:r>
      <w:r>
        <w:rPr>
          <w:rFonts w:ascii="宋体" w:hAnsi="宋体" w:hint="eastAsia"/>
          <w:kern w:val="0"/>
          <w:sz w:val="24"/>
        </w:rPr>
        <w:t>后</w:t>
      </w:r>
      <w:r>
        <w:rPr>
          <w:rFonts w:ascii="宋体" w:hAnsi="宋体"/>
          <w:kern w:val="0"/>
          <w:sz w:val="24"/>
        </w:rPr>
        <w:t>，</w:t>
      </w:r>
      <w:r>
        <w:rPr>
          <w:rFonts w:ascii="宋体" w:hAnsi="宋体" w:hint="eastAsia"/>
          <w:kern w:val="0"/>
          <w:sz w:val="24"/>
        </w:rPr>
        <w:t>仍</w:t>
      </w:r>
      <w:r>
        <w:rPr>
          <w:rFonts w:ascii="宋体" w:hAnsi="宋体"/>
          <w:kern w:val="0"/>
          <w:sz w:val="24"/>
        </w:rPr>
        <w:t>应妥善保管基金财产和基金托管业务资料，</w:t>
      </w:r>
      <w:r>
        <w:rPr>
          <w:rFonts w:ascii="宋体" w:hAnsi="宋体" w:hint="eastAsia"/>
          <w:sz w:val="24"/>
        </w:rPr>
        <w:t>保证不做出对基金份额持有人的利益造成损害的行为，</w:t>
      </w:r>
      <w:r>
        <w:rPr>
          <w:rFonts w:ascii="宋体" w:hAnsi="宋体" w:hint="eastAsia"/>
          <w:kern w:val="0"/>
          <w:sz w:val="24"/>
        </w:rPr>
        <w:t>并与</w:t>
      </w:r>
      <w:proofErr w:type="gramStart"/>
      <w:r>
        <w:rPr>
          <w:rFonts w:ascii="宋体" w:hAnsi="宋体" w:hint="eastAsia"/>
          <w:kern w:val="0"/>
          <w:sz w:val="24"/>
        </w:rPr>
        <w:t>新任基金</w:t>
      </w:r>
      <w:proofErr w:type="gramEnd"/>
      <w:r>
        <w:rPr>
          <w:rFonts w:ascii="宋体" w:hAnsi="宋体" w:hint="eastAsia"/>
          <w:kern w:val="0"/>
          <w:sz w:val="24"/>
        </w:rPr>
        <w:t>托管人或临时基金托管人</w:t>
      </w:r>
      <w:r>
        <w:rPr>
          <w:rFonts w:ascii="宋体" w:hAnsi="宋体"/>
          <w:kern w:val="0"/>
          <w:sz w:val="24"/>
        </w:rPr>
        <w:t>及时办理基金财产和基金托管业务的移交手续。</w:t>
      </w:r>
      <w:r>
        <w:rPr>
          <w:rFonts w:ascii="宋体" w:hAnsi="宋体" w:hint="eastAsia"/>
          <w:kern w:val="0"/>
          <w:sz w:val="24"/>
        </w:rPr>
        <w:t>基金管理人应给予积极配合，并与</w:t>
      </w:r>
      <w:proofErr w:type="gramStart"/>
      <w:r>
        <w:rPr>
          <w:rFonts w:ascii="宋体" w:hAnsi="宋体" w:hint="eastAsia"/>
          <w:kern w:val="0"/>
          <w:sz w:val="24"/>
        </w:rPr>
        <w:t>新任基金</w:t>
      </w:r>
      <w:proofErr w:type="gramEnd"/>
      <w:r>
        <w:rPr>
          <w:rFonts w:ascii="宋体" w:hAnsi="宋体" w:hint="eastAsia"/>
          <w:kern w:val="0"/>
          <w:sz w:val="24"/>
        </w:rPr>
        <w:t>托管人或临时基金托管人核对基金资产总值和基金资产净值。</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（三）其他事宜</w:t>
      </w:r>
      <w:proofErr w:type="gramStart"/>
      <w:r>
        <w:rPr>
          <w:rFonts w:ascii="宋体" w:hAnsi="宋体" w:hint="eastAsia"/>
          <w:sz w:val="24"/>
        </w:rPr>
        <w:t>见基金</w:t>
      </w:r>
      <w:proofErr w:type="gramEnd"/>
      <w:r>
        <w:rPr>
          <w:rFonts w:ascii="宋体" w:hAnsi="宋体" w:hint="eastAsia"/>
          <w:sz w:val="24"/>
        </w:rPr>
        <w:t>合同的相关约定。</w:t>
      </w:r>
    </w:p>
    <w:p w:rsidR="00EF58AF" w:rsidRDefault="00EF58AF">
      <w:pPr>
        <w:spacing w:line="360" w:lineRule="auto"/>
        <w:ind w:firstLineChars="200" w:firstLine="480"/>
        <w:contextualSpacing/>
        <w:rPr>
          <w:rFonts w:ascii="宋体" w:hAnsi="宋体"/>
          <w:sz w:val="24"/>
        </w:rPr>
      </w:pPr>
    </w:p>
    <w:bookmarkEnd w:id="158"/>
    <w:p w:rsidR="00EF58AF" w:rsidRDefault="00EF58AF">
      <w:pPr>
        <w:spacing w:line="360" w:lineRule="auto"/>
        <w:ind w:firstLineChars="200" w:firstLine="480"/>
        <w:contextualSpacing/>
        <w:rPr>
          <w:rFonts w:ascii="宋体" w:hAnsi="宋体"/>
          <w:sz w:val="24"/>
        </w:rPr>
        <w:sectPr w:rsidR="00EF58AF">
          <w:footerReference w:type="default" r:id="rId67"/>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60" w:name="_Toc348082043"/>
      <w:bookmarkStart w:id="161" w:name="_Toc3276862"/>
      <w:bookmarkStart w:id="162" w:name="_Toc384992705"/>
      <w:bookmarkStart w:id="163" w:name="CLAUSE_08a667822ab64fa99425ccc1e6235624"/>
      <w:r>
        <w:rPr>
          <w:rFonts w:ascii="宋体" w:eastAsia="宋体" w:hAnsi="宋体"/>
        </w:rPr>
        <w:lastRenderedPageBreak/>
        <w:t xml:space="preserve"> </w:t>
      </w:r>
      <w:bookmarkStart w:id="164" w:name="CTS_08a667822ab64fa99425ccc1e6235624"/>
      <w:bookmarkEnd w:id="164"/>
      <w:r>
        <w:rPr>
          <w:rFonts w:ascii="宋体" w:eastAsia="宋体" w:hAnsi="宋体"/>
        </w:rPr>
        <w:t xml:space="preserve">   </w:t>
      </w:r>
      <w:r>
        <w:rPr>
          <w:rFonts w:ascii="宋体" w:eastAsia="宋体" w:hAnsi="宋体" w:hint="eastAsia"/>
        </w:rPr>
        <w:t>禁止行为</w:t>
      </w:r>
      <w:bookmarkEnd w:id="160"/>
      <w:bookmarkEnd w:id="161"/>
      <w:bookmarkEnd w:id="162"/>
    </w:p>
    <w:p w:rsidR="00EF58AF" w:rsidRDefault="003764FD">
      <w:pPr>
        <w:spacing w:line="360" w:lineRule="auto"/>
        <w:ind w:firstLineChars="200" w:firstLine="480"/>
        <w:contextualSpacing/>
        <w:rPr>
          <w:rFonts w:ascii="宋体" w:hAnsi="宋体"/>
          <w:sz w:val="24"/>
        </w:rPr>
      </w:pPr>
      <w:r>
        <w:rPr>
          <w:rFonts w:ascii="宋体" w:hAnsi="宋体" w:hint="eastAsia"/>
          <w:sz w:val="24"/>
        </w:rPr>
        <w:t>本协议当事人禁止从事的行为，包括但不限于：</w:t>
      </w:r>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（一）基金管理人、基金托管人将其固有财产或者他人财产混同于基金财产从事证券投资。</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（二）基金管理人不公平地对待其管理的不同基金财产，基金托管人不公平地对待其托管的不同基金财产。</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（三）基金管理人、基金托管人利用基金财产或职务之便为基金份额持有人以外的第三人牟取利益。</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（四）基金管理人、基金托管人向基金份额持有人违规承诺收益或者承担损失。</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（五）基金管理人、基金托管人对他人泄露基金运作和管理过程中任何尚未按法律法规规定的方式公开披露的信息。</w:t>
      </w:r>
    </w:p>
    <w:p w:rsidR="00EF58AF" w:rsidRDefault="003764FD">
      <w:pPr>
        <w:pStyle w:val="a7"/>
        <w:adjustRightInd/>
        <w:snapToGrid/>
        <w:spacing w:line="360" w:lineRule="auto"/>
        <w:contextualSpacing/>
        <w:rPr>
          <w:rFonts w:ascii="宋体" w:eastAsia="宋体" w:hAnsi="宋体"/>
        </w:rPr>
      </w:pPr>
      <w:r>
        <w:rPr>
          <w:rFonts w:ascii="宋体" w:eastAsia="宋体" w:hAnsi="宋体" w:hint="eastAsia"/>
        </w:rPr>
        <w:t>（六）基金管理人在没有充足资金的情况下向基金托管人发出投资指令和付款指令，或违规向基金托管人发出指令。</w:t>
      </w:r>
    </w:p>
    <w:p w:rsidR="00EF58AF" w:rsidRDefault="003764FD">
      <w:pPr>
        <w:spacing w:line="360" w:lineRule="auto"/>
        <w:ind w:firstLineChars="200" w:firstLine="480"/>
        <w:contextualSpacing/>
        <w:rPr>
          <w:rFonts w:ascii="宋体" w:hAnsi="宋体"/>
          <w:sz w:val="24"/>
        </w:rPr>
      </w:pPr>
      <w:r>
        <w:rPr>
          <w:rFonts w:ascii="宋体" w:hAnsi="宋体" w:hint="eastAsia"/>
          <w:sz w:val="24"/>
        </w:rPr>
        <w:t>（七）基金管理人、基金托管人在行政上、财务上不独立，其高级管理人员和其他从业人员相互兼职。</w:t>
      </w:r>
    </w:p>
    <w:p w:rsidR="00EF58AF" w:rsidRDefault="003764FD">
      <w:pPr>
        <w:spacing w:line="360" w:lineRule="auto"/>
        <w:ind w:firstLineChars="200" w:firstLine="480"/>
        <w:contextualSpacing/>
        <w:rPr>
          <w:rFonts w:ascii="宋体" w:hAnsi="宋体"/>
          <w:sz w:val="24"/>
        </w:rPr>
      </w:pPr>
      <w:r>
        <w:rPr>
          <w:rFonts w:ascii="宋体" w:hAnsi="宋体" w:hint="eastAsia"/>
          <w:sz w:val="24"/>
        </w:rPr>
        <w:t>（八）基金托管人私自动用或处分基金财产，根据基金管理人的合法指令、基金合同或托管协议的规定进行处分的除外。</w:t>
      </w:r>
    </w:p>
    <w:p w:rsidR="00EF58AF" w:rsidRDefault="003764FD">
      <w:pPr>
        <w:spacing w:line="360" w:lineRule="auto"/>
        <w:ind w:firstLineChars="200" w:firstLine="480"/>
        <w:contextualSpacing/>
        <w:rPr>
          <w:rFonts w:ascii="宋体" w:hAnsi="宋体"/>
          <w:sz w:val="24"/>
        </w:rPr>
      </w:pPr>
      <w:r>
        <w:rPr>
          <w:rFonts w:ascii="宋体" w:hAnsi="宋体" w:hint="eastAsia"/>
          <w:sz w:val="24"/>
        </w:rPr>
        <w:t>（九）法律法规和基金合同禁止的其他行为，以及依照法律、行政法规有关规定，由中国证监会规定禁止基金管理人、基金托管人从事的其他行为。</w:t>
      </w:r>
    </w:p>
    <w:bookmarkEnd w:id="163"/>
    <w:p w:rsidR="00EF58AF" w:rsidRDefault="00EF58AF">
      <w:pPr>
        <w:spacing w:line="360" w:lineRule="auto"/>
        <w:ind w:firstLineChars="200" w:firstLine="480"/>
        <w:contextualSpacing/>
        <w:rPr>
          <w:rFonts w:ascii="宋体" w:hAnsi="宋体"/>
          <w:sz w:val="24"/>
        </w:rPr>
        <w:sectPr w:rsidR="00EF58AF">
          <w:footerReference w:type="default" r:id="rId68"/>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65" w:name="_Toc384992706"/>
      <w:bookmarkStart w:id="166" w:name="_Toc348082044"/>
      <w:bookmarkStart w:id="167" w:name="_Toc3276863"/>
      <w:bookmarkStart w:id="168" w:name="CLAUSE_caf10f8a7dd84769a7415b028c909c41"/>
      <w:r>
        <w:rPr>
          <w:rFonts w:ascii="宋体" w:eastAsia="宋体" w:hAnsi="宋体"/>
        </w:rPr>
        <w:lastRenderedPageBreak/>
        <w:t xml:space="preserve"> </w:t>
      </w:r>
      <w:bookmarkStart w:id="169" w:name="CTS_caf10f8a7dd84769a7415b028c909c41"/>
      <w:bookmarkEnd w:id="169"/>
      <w:r>
        <w:rPr>
          <w:rFonts w:ascii="宋体" w:eastAsia="宋体" w:hAnsi="宋体"/>
        </w:rPr>
        <w:t xml:space="preserve">   </w:t>
      </w:r>
      <w:r>
        <w:rPr>
          <w:rFonts w:ascii="宋体" w:eastAsia="宋体" w:hAnsi="宋体" w:hint="eastAsia"/>
        </w:rPr>
        <w:t>托管协议的变更、终止与基金财产的清算</w:t>
      </w:r>
      <w:bookmarkEnd w:id="165"/>
      <w:bookmarkEnd w:id="166"/>
      <w:bookmarkEnd w:id="167"/>
    </w:p>
    <w:p w:rsidR="00EF58AF" w:rsidRDefault="003764FD">
      <w:pPr>
        <w:spacing w:line="360" w:lineRule="auto"/>
        <w:ind w:firstLineChars="200" w:firstLine="480"/>
        <w:contextualSpacing/>
        <w:rPr>
          <w:rFonts w:ascii="宋体" w:hAnsi="宋体"/>
          <w:sz w:val="24"/>
        </w:rPr>
      </w:pPr>
      <w:r>
        <w:rPr>
          <w:rFonts w:ascii="宋体" w:hAnsi="宋体" w:hint="eastAsia"/>
          <w:sz w:val="24"/>
        </w:rPr>
        <w:t>（一）托管协议的变更程序</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本协议双方当事人经协商一致，可以对协议进行修改。修改后的新协议，其内容不得与基金合同的规定有任何冲突。基金托管协议的变更应报中国证监会备案。</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（二）基金托管协议终止的情形</w:t>
      </w:r>
    </w:p>
    <w:p w:rsidR="00EF58AF" w:rsidRDefault="003764FD">
      <w:pPr>
        <w:spacing w:line="360" w:lineRule="auto"/>
        <w:ind w:firstLineChars="200" w:firstLine="480"/>
        <w:contextualSpacing/>
        <w:rPr>
          <w:rFonts w:ascii="宋体" w:hAnsi="宋体"/>
          <w:sz w:val="24"/>
        </w:rPr>
      </w:pPr>
      <w:r>
        <w:rPr>
          <w:rFonts w:ascii="宋体" w:hAnsi="宋体"/>
          <w:sz w:val="24"/>
        </w:rPr>
        <w:t>1</w:t>
      </w:r>
      <w:r>
        <w:rPr>
          <w:rFonts w:ascii="宋体" w:hAnsi="宋体" w:hint="eastAsia"/>
          <w:sz w:val="24"/>
        </w:rPr>
        <w:t>.</w:t>
      </w:r>
      <w:r>
        <w:rPr>
          <w:rFonts w:ascii="宋体" w:hAnsi="宋体"/>
          <w:sz w:val="24"/>
        </w:rPr>
        <w:t>《基金合同》终止；</w:t>
      </w:r>
    </w:p>
    <w:p w:rsidR="00EF58AF" w:rsidRDefault="003764FD">
      <w:pPr>
        <w:spacing w:line="360" w:lineRule="auto"/>
        <w:ind w:firstLineChars="200" w:firstLine="480"/>
        <w:contextualSpacing/>
        <w:rPr>
          <w:rFonts w:ascii="宋体" w:hAnsi="宋体"/>
          <w:sz w:val="24"/>
        </w:rPr>
      </w:pPr>
      <w:r>
        <w:rPr>
          <w:rFonts w:ascii="宋体" w:hAnsi="宋体"/>
          <w:sz w:val="24"/>
        </w:rPr>
        <w:t>2</w:t>
      </w:r>
      <w:r>
        <w:rPr>
          <w:rFonts w:ascii="宋体" w:hAnsi="宋体" w:hint="eastAsia"/>
          <w:sz w:val="24"/>
        </w:rPr>
        <w:t>.</w:t>
      </w:r>
      <w:r>
        <w:rPr>
          <w:rFonts w:ascii="宋体" w:hAnsi="宋体"/>
          <w:sz w:val="24"/>
        </w:rPr>
        <w:t>基金托管人因解散、破产、撤销等事由，不能继续担任基金托管人的职务，而在6个月内无其他适当的托管机构承接其原有权利义务；</w:t>
      </w:r>
    </w:p>
    <w:p w:rsidR="00EF58AF" w:rsidRDefault="003764FD">
      <w:pPr>
        <w:spacing w:line="360" w:lineRule="auto"/>
        <w:ind w:firstLineChars="200" w:firstLine="480"/>
        <w:contextualSpacing/>
        <w:rPr>
          <w:rFonts w:ascii="宋体" w:hAnsi="宋体"/>
          <w:sz w:val="24"/>
        </w:rPr>
      </w:pPr>
      <w:r>
        <w:rPr>
          <w:rFonts w:ascii="宋体" w:hAnsi="宋体"/>
          <w:sz w:val="24"/>
        </w:rPr>
        <w:t>3</w:t>
      </w:r>
      <w:r>
        <w:rPr>
          <w:rFonts w:ascii="宋体" w:hAnsi="宋体" w:hint="eastAsia"/>
          <w:sz w:val="24"/>
        </w:rPr>
        <w:t>.</w:t>
      </w:r>
      <w:r>
        <w:rPr>
          <w:rFonts w:ascii="宋体" w:hAnsi="宋体"/>
          <w:sz w:val="24"/>
        </w:rPr>
        <w:t>基金管理人因解散、破产、撤销等事由，不能继续担任基金管理人的职务，而在6个月内无其他适当的基金管理公司承接其原有权利义务；</w:t>
      </w:r>
    </w:p>
    <w:p w:rsidR="00EF58AF" w:rsidRDefault="003764FD">
      <w:pPr>
        <w:spacing w:line="360" w:lineRule="auto"/>
        <w:ind w:firstLineChars="200" w:firstLine="480"/>
        <w:contextualSpacing/>
        <w:rPr>
          <w:rFonts w:ascii="宋体" w:hAnsi="宋体"/>
          <w:sz w:val="24"/>
        </w:rPr>
      </w:pPr>
      <w:r>
        <w:rPr>
          <w:rFonts w:ascii="宋体" w:hAnsi="宋体"/>
          <w:sz w:val="24"/>
        </w:rPr>
        <w:t>4</w:t>
      </w:r>
      <w:r>
        <w:rPr>
          <w:rFonts w:ascii="宋体" w:hAnsi="宋体" w:hint="eastAsia"/>
          <w:sz w:val="24"/>
        </w:rPr>
        <w:t>.</w:t>
      </w:r>
      <w:r>
        <w:rPr>
          <w:rFonts w:ascii="宋体" w:hAnsi="宋体"/>
          <w:sz w:val="24"/>
        </w:rPr>
        <w:t>发生法律法规</w:t>
      </w:r>
      <w:r>
        <w:rPr>
          <w:rFonts w:ascii="宋体" w:hAnsi="宋体" w:hint="eastAsia"/>
          <w:sz w:val="24"/>
        </w:rPr>
        <w:t>、中国证监会</w:t>
      </w:r>
      <w:r>
        <w:rPr>
          <w:rFonts w:ascii="宋体" w:hAnsi="宋体"/>
          <w:sz w:val="24"/>
        </w:rPr>
        <w:t>或《基金合同》规定的</w:t>
      </w:r>
      <w:r>
        <w:rPr>
          <w:rFonts w:ascii="宋体" w:hAnsi="宋体" w:hint="eastAsia"/>
          <w:sz w:val="24"/>
        </w:rPr>
        <w:t>其他终止事项。</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（三）基金财产的清算</w:t>
      </w:r>
    </w:p>
    <w:p w:rsidR="00EF58AF" w:rsidRDefault="003764FD">
      <w:pPr>
        <w:spacing w:line="360" w:lineRule="auto"/>
        <w:ind w:firstLineChars="200" w:firstLine="480"/>
        <w:contextualSpacing/>
        <w:rPr>
          <w:rFonts w:ascii="宋体" w:hAnsi="宋体"/>
          <w:sz w:val="24"/>
        </w:rPr>
      </w:pPr>
      <w:r>
        <w:rPr>
          <w:rFonts w:ascii="宋体" w:hAnsi="宋体" w:hint="eastAsia"/>
          <w:sz w:val="24"/>
        </w:rPr>
        <w:t>基金管理人与基金托管人按照《基金合同》的约定处理基金财产的清算。</w:t>
      </w:r>
    </w:p>
    <w:p w:rsidR="00EF58AF" w:rsidRDefault="00EF58AF">
      <w:pPr>
        <w:spacing w:line="360" w:lineRule="auto"/>
        <w:ind w:firstLineChars="200" w:firstLine="480"/>
        <w:contextualSpacing/>
        <w:rPr>
          <w:rFonts w:ascii="宋体" w:hAnsi="宋体"/>
          <w:sz w:val="24"/>
        </w:rPr>
      </w:pPr>
    </w:p>
    <w:bookmarkEnd w:id="168"/>
    <w:p w:rsidR="00EF58AF" w:rsidRDefault="00EF58AF">
      <w:pPr>
        <w:spacing w:line="360" w:lineRule="auto"/>
        <w:ind w:firstLineChars="200" w:firstLine="480"/>
        <w:contextualSpacing/>
        <w:rPr>
          <w:rFonts w:ascii="宋体" w:hAnsi="宋体"/>
          <w:sz w:val="24"/>
        </w:rPr>
        <w:sectPr w:rsidR="00EF58AF">
          <w:footerReference w:type="default" r:id="rId69"/>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rPr>
          <w:rFonts w:ascii="宋体" w:eastAsia="宋体" w:hAnsi="宋体"/>
        </w:rPr>
      </w:pPr>
      <w:bookmarkStart w:id="170" w:name="_Toc348082045"/>
      <w:bookmarkStart w:id="171" w:name="_Toc384992707"/>
      <w:bookmarkStart w:id="172" w:name="_Toc3276864"/>
      <w:bookmarkStart w:id="173" w:name="CLAUSE_a4421962ac9445af887fcc890c50a95e"/>
      <w:r>
        <w:rPr>
          <w:rFonts w:ascii="宋体" w:eastAsia="宋体" w:hAnsi="宋体"/>
        </w:rPr>
        <w:lastRenderedPageBreak/>
        <w:t xml:space="preserve"> </w:t>
      </w:r>
      <w:bookmarkStart w:id="174" w:name="CTS_a4421962ac9445af887fcc890c50a95e"/>
      <w:bookmarkEnd w:id="174"/>
      <w:r>
        <w:rPr>
          <w:rFonts w:ascii="宋体" w:eastAsia="宋体" w:hAnsi="宋体"/>
        </w:rPr>
        <w:t xml:space="preserve">  </w:t>
      </w:r>
      <w:r>
        <w:rPr>
          <w:rFonts w:ascii="宋体" w:eastAsia="宋体" w:hAnsi="宋体" w:hint="eastAsia"/>
        </w:rPr>
        <w:t>违约责任</w:t>
      </w:r>
      <w:bookmarkEnd w:id="170"/>
      <w:bookmarkEnd w:id="171"/>
      <w:bookmarkEnd w:id="172"/>
    </w:p>
    <w:p w:rsidR="00EF58AF" w:rsidRDefault="003764FD">
      <w:pPr>
        <w:spacing w:line="360" w:lineRule="auto"/>
        <w:ind w:firstLineChars="200" w:firstLine="480"/>
        <w:contextualSpacing/>
        <w:rPr>
          <w:rFonts w:ascii="宋体" w:hAnsi="宋体"/>
          <w:sz w:val="24"/>
        </w:rPr>
      </w:pPr>
      <w:r>
        <w:rPr>
          <w:rFonts w:ascii="宋体" w:hAnsi="宋体" w:hint="eastAsia"/>
          <w:sz w:val="24"/>
        </w:rPr>
        <w:t>（一）</w:t>
      </w:r>
      <w:r>
        <w:rPr>
          <w:rFonts w:ascii="宋体" w:hAnsi="宋体"/>
          <w:sz w:val="24"/>
        </w:rPr>
        <w:t>基金管理人、基金托管人</w:t>
      </w:r>
      <w:r>
        <w:rPr>
          <w:rFonts w:ascii="宋体" w:hAnsi="宋体" w:hint="eastAsia"/>
          <w:sz w:val="24"/>
        </w:rPr>
        <w:t>不</w:t>
      </w:r>
      <w:r>
        <w:rPr>
          <w:rFonts w:ascii="宋体" w:hAnsi="宋体"/>
          <w:sz w:val="24"/>
        </w:rPr>
        <w:t>履行</w:t>
      </w:r>
      <w:r>
        <w:rPr>
          <w:rFonts w:ascii="宋体" w:hAnsi="宋体" w:hint="eastAsia"/>
          <w:sz w:val="24"/>
        </w:rPr>
        <w:t>本协议或履行本协议不符合约定的，应当承担违约责任。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w:t>
      </w:r>
      <w:r>
        <w:rPr>
          <w:rFonts w:ascii="宋体" w:hAnsi="宋体"/>
          <w:sz w:val="24"/>
        </w:rPr>
        <w:t>基金管理人、基金托管人在履行各自职责的过程中，违反</w:t>
      </w:r>
      <w:r>
        <w:rPr>
          <w:rFonts w:ascii="宋体" w:hAnsi="宋体" w:hint="eastAsia"/>
          <w:sz w:val="24"/>
        </w:rPr>
        <w:t>《基金法》、《基金合同》和本托管协议</w:t>
      </w:r>
      <w:r>
        <w:rPr>
          <w:rFonts w:ascii="宋体" w:hAnsi="宋体"/>
          <w:sz w:val="24"/>
        </w:rPr>
        <w:t>约定，给基金财产或者基金份额持有人造成损害的，应当分别对各自的行为依法承担赔偿责任；因共同行为给基金财产或者基金份额持有人造成损害的，应当</w:t>
      </w:r>
      <w:r>
        <w:rPr>
          <w:rFonts w:ascii="宋体" w:hAnsi="宋体" w:hint="eastAsia"/>
          <w:sz w:val="24"/>
        </w:rPr>
        <w:t>根据各自的过错程度对由此造成的直接损失分别承担相应的</w:t>
      </w:r>
      <w:r>
        <w:rPr>
          <w:rFonts w:ascii="宋体" w:hAnsi="宋体"/>
          <w:sz w:val="24"/>
        </w:rPr>
        <w:t>责任。</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（三）一方当事人违约，给另一方当事人或基金财产造成损失的，应就直接损失进行赔偿，另一方当事人有权利及义务代表基金向违约方追偿。但是如发生下列情况，当事人可以免责：</w:t>
      </w:r>
    </w:p>
    <w:p w:rsidR="00EF58AF" w:rsidRDefault="003764FD">
      <w:pPr>
        <w:spacing w:line="360" w:lineRule="auto"/>
        <w:ind w:firstLineChars="200" w:firstLine="480"/>
        <w:contextualSpacing/>
        <w:rPr>
          <w:rFonts w:ascii="宋体" w:hAnsi="宋体"/>
          <w:sz w:val="24"/>
        </w:rPr>
      </w:pPr>
      <w:r>
        <w:rPr>
          <w:rFonts w:ascii="宋体" w:hAnsi="宋体"/>
          <w:sz w:val="24"/>
        </w:rPr>
        <w:t>1</w:t>
      </w:r>
      <w:r>
        <w:rPr>
          <w:rFonts w:ascii="宋体" w:hAnsi="宋体" w:hint="eastAsia"/>
          <w:sz w:val="24"/>
        </w:rPr>
        <w:t>.</w:t>
      </w:r>
      <w:r>
        <w:rPr>
          <w:rFonts w:ascii="宋体" w:hAnsi="宋体"/>
          <w:sz w:val="24"/>
        </w:rPr>
        <w:t>基金管理人</w:t>
      </w:r>
      <w:r>
        <w:rPr>
          <w:rFonts w:ascii="宋体" w:hAnsi="宋体" w:hint="eastAsia"/>
          <w:sz w:val="24"/>
        </w:rPr>
        <w:t>和/或</w:t>
      </w:r>
      <w:r>
        <w:rPr>
          <w:rFonts w:ascii="宋体" w:hAnsi="宋体"/>
          <w:sz w:val="24"/>
        </w:rPr>
        <w:t>基金托管人按照</w:t>
      </w:r>
      <w:r>
        <w:rPr>
          <w:rFonts w:ascii="宋体" w:hAnsi="宋体" w:hint="eastAsia"/>
          <w:sz w:val="24"/>
        </w:rPr>
        <w:t>届时</w:t>
      </w:r>
      <w:r>
        <w:rPr>
          <w:rFonts w:ascii="宋体" w:hAnsi="宋体"/>
          <w:sz w:val="24"/>
        </w:rPr>
        <w:t>有效的法律法规或中国证监会的规定作为或不作为而造成的损失等；</w:t>
      </w:r>
    </w:p>
    <w:p w:rsidR="00EF58AF" w:rsidRDefault="003764FD">
      <w:pPr>
        <w:spacing w:line="360" w:lineRule="auto"/>
        <w:ind w:firstLineChars="200" w:firstLine="480"/>
        <w:contextualSpacing/>
        <w:rPr>
          <w:rFonts w:ascii="宋体" w:hAnsi="宋体"/>
          <w:sz w:val="24"/>
        </w:rPr>
      </w:pPr>
      <w:r>
        <w:rPr>
          <w:rFonts w:ascii="宋体" w:hAnsi="宋体"/>
          <w:sz w:val="24"/>
        </w:rPr>
        <w:t>2</w:t>
      </w:r>
      <w:r>
        <w:rPr>
          <w:rFonts w:ascii="宋体" w:hAnsi="宋体" w:hint="eastAsia"/>
          <w:sz w:val="24"/>
        </w:rPr>
        <w:t>.</w:t>
      </w:r>
      <w:r>
        <w:rPr>
          <w:rFonts w:ascii="宋体" w:hAnsi="宋体"/>
          <w:sz w:val="24"/>
        </w:rPr>
        <w:t>基金管理人由于按照《基金合同》规定的投资原则行使或不行使其投资权而造成的损失等；</w:t>
      </w:r>
    </w:p>
    <w:p w:rsidR="00EF58AF" w:rsidRDefault="003764FD">
      <w:pPr>
        <w:spacing w:line="360" w:lineRule="auto"/>
        <w:ind w:firstLineChars="200" w:firstLine="480"/>
        <w:contextualSpacing/>
        <w:rPr>
          <w:rFonts w:ascii="宋体" w:hAnsi="宋体"/>
          <w:sz w:val="24"/>
        </w:rPr>
      </w:pPr>
      <w:r>
        <w:rPr>
          <w:rFonts w:ascii="宋体" w:hAnsi="宋体"/>
          <w:sz w:val="24"/>
        </w:rPr>
        <w:t>3</w:t>
      </w:r>
      <w:r>
        <w:rPr>
          <w:rFonts w:ascii="宋体" w:hAnsi="宋体" w:hint="eastAsia"/>
          <w:sz w:val="24"/>
        </w:rPr>
        <w:t>.</w:t>
      </w:r>
      <w:r>
        <w:rPr>
          <w:rFonts w:ascii="宋体" w:hAnsi="宋体"/>
          <w:sz w:val="24"/>
        </w:rPr>
        <w:t>不可抗力</w:t>
      </w:r>
      <w:r>
        <w:rPr>
          <w:rFonts w:ascii="宋体" w:hAnsi="宋体" w:hint="eastAsia"/>
          <w:sz w:val="24"/>
        </w:rPr>
        <w:t>。</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（四）一方当事人违约，另一方当事人在职责范围内有义务及时采取必要的措施，尽力防止损失的扩大。</w:t>
      </w:r>
    </w:p>
    <w:p w:rsidR="00EF58AF" w:rsidRDefault="003764FD">
      <w:pPr>
        <w:spacing w:line="360" w:lineRule="auto"/>
        <w:ind w:firstLineChars="200" w:firstLine="480"/>
        <w:contextualSpacing/>
        <w:rPr>
          <w:rFonts w:ascii="宋体" w:hAnsi="宋体"/>
          <w:sz w:val="24"/>
        </w:rPr>
      </w:pPr>
      <w:r>
        <w:rPr>
          <w:rFonts w:ascii="宋体" w:hAnsi="宋体" w:hint="eastAsia"/>
          <w:sz w:val="24"/>
        </w:rPr>
        <w:t>（五）违约行为虽已发生，但本托管协议能够继续履行的，在最大限度地保护基金份额持有人利益的前提下，基金管理人和基金托管人应当继续履行本协议。</w:t>
      </w:r>
      <w:proofErr w:type="gramStart"/>
      <w:r>
        <w:rPr>
          <w:rFonts w:ascii="宋体" w:hAnsi="宋体" w:hint="eastAsia"/>
          <w:sz w:val="24"/>
        </w:rPr>
        <w:t>若基金</w:t>
      </w:r>
      <w:proofErr w:type="gramEnd"/>
      <w:r>
        <w:rPr>
          <w:rFonts w:ascii="宋体" w:hAnsi="宋体" w:hint="eastAsia"/>
          <w:sz w:val="24"/>
        </w:rPr>
        <w:t>管理人或基金托管人因履行本协议而被起诉，另一方应提供合理的必要支持。</w:t>
      </w:r>
    </w:p>
    <w:p w:rsidR="00EF58AF" w:rsidRDefault="003764FD">
      <w:pPr>
        <w:spacing w:line="360" w:lineRule="auto"/>
        <w:ind w:firstLineChars="200" w:firstLine="480"/>
        <w:contextualSpacing/>
        <w:rPr>
          <w:rFonts w:ascii="宋体" w:hAnsi="宋体"/>
          <w:sz w:val="24"/>
        </w:rPr>
        <w:sectPr w:rsidR="00EF58AF">
          <w:footerReference w:type="default" r:id="rId70"/>
          <w:pgSz w:w="11906" w:h="16838"/>
          <w:pgMar w:top="1418" w:right="1701" w:bottom="1418" w:left="1701" w:header="851" w:footer="992" w:gutter="0"/>
          <w:pgNumType w:start="1" w:chapStyle="1"/>
          <w:cols w:space="425"/>
          <w:docGrid w:type="lines" w:linePitch="312"/>
        </w:sectPr>
      </w:pPr>
      <w:r>
        <w:rPr>
          <w:rFonts w:ascii="宋体" w:hAnsi="宋体" w:hint="eastAsia"/>
          <w:sz w:val="24"/>
        </w:rPr>
        <w:t>（六）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减轻或消除由此造成的影响。</w:t>
      </w:r>
    </w:p>
    <w:p w:rsidR="00EF58AF" w:rsidRDefault="00EF58AF">
      <w:pPr>
        <w:spacing w:line="360" w:lineRule="auto"/>
        <w:ind w:firstLineChars="200" w:firstLine="480"/>
        <w:contextualSpacing/>
        <w:rPr>
          <w:rFonts w:ascii="宋体" w:hAnsi="宋体"/>
          <w:sz w:val="24"/>
        </w:rPr>
      </w:pPr>
    </w:p>
    <w:p w:rsidR="00EF58AF" w:rsidRDefault="00EF58AF">
      <w:pPr>
        <w:spacing w:line="360" w:lineRule="auto"/>
        <w:ind w:firstLineChars="200" w:firstLine="480"/>
        <w:contextualSpacing/>
        <w:rPr>
          <w:rFonts w:ascii="宋体" w:hAnsi="宋体"/>
          <w:sz w:val="24"/>
        </w:r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75" w:name="_Toc3276865"/>
      <w:bookmarkStart w:id="176" w:name="_Toc384992708"/>
      <w:bookmarkStart w:id="177" w:name="_Toc348082046"/>
      <w:r>
        <w:rPr>
          <w:rFonts w:ascii="宋体" w:eastAsia="宋体" w:hAnsi="宋体"/>
        </w:rPr>
        <w:lastRenderedPageBreak/>
        <w:t xml:space="preserve">   </w:t>
      </w:r>
      <w:r>
        <w:rPr>
          <w:rFonts w:ascii="宋体" w:eastAsia="宋体" w:hAnsi="宋体" w:hint="eastAsia"/>
        </w:rPr>
        <w:t>争议解决方式</w:t>
      </w:r>
      <w:bookmarkEnd w:id="175"/>
      <w:bookmarkEnd w:id="176"/>
      <w:bookmarkEnd w:id="177"/>
    </w:p>
    <w:p w:rsidR="00EF58AF" w:rsidRDefault="003764FD">
      <w:pPr>
        <w:spacing w:line="360" w:lineRule="auto"/>
        <w:ind w:firstLineChars="200" w:firstLine="480"/>
        <w:contextualSpacing/>
        <w:rPr>
          <w:rFonts w:ascii="宋体" w:hAnsi="宋体"/>
          <w:sz w:val="24"/>
        </w:rPr>
      </w:pPr>
      <w:r>
        <w:rPr>
          <w:rFonts w:ascii="宋体" w:hAnsi="宋体" w:hint="eastAsia"/>
          <w:sz w:val="24"/>
        </w:rPr>
        <w:t>各方当事人同意，因本协议而产生的或与本协议有关的一切争议，如经友好协商未能解决的，任何一方均有权将争议提交深圳国际仲裁院，按照其届时有效的仲裁规则进行仲裁。仲裁地点为深圳市。仲裁裁决是终局的，对各方当事人均有约束力。除非仲裁裁决另有决定，仲裁费用由败诉方承担。</w:t>
      </w:r>
    </w:p>
    <w:p w:rsidR="00EF58AF" w:rsidRDefault="003764FD">
      <w:pPr>
        <w:spacing w:line="360" w:lineRule="auto"/>
        <w:ind w:firstLineChars="200" w:firstLine="480"/>
        <w:contextualSpacing/>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本协议受中华人民共和国法律（不含港澳台立法）管辖。</w:t>
      </w:r>
    </w:p>
    <w:p w:rsidR="00EF58AF" w:rsidRDefault="00EF58AF">
      <w:pPr>
        <w:spacing w:line="360" w:lineRule="auto"/>
        <w:ind w:firstLineChars="200" w:firstLine="480"/>
        <w:contextualSpacing/>
        <w:rPr>
          <w:rFonts w:ascii="宋体" w:hAnsi="宋体"/>
          <w:sz w:val="24"/>
        </w:rPr>
      </w:pPr>
    </w:p>
    <w:bookmarkEnd w:id="173"/>
    <w:p w:rsidR="00EF58AF" w:rsidRDefault="00EF58AF">
      <w:pPr>
        <w:spacing w:line="360" w:lineRule="auto"/>
        <w:ind w:firstLineChars="200" w:firstLine="480"/>
        <w:contextualSpacing/>
        <w:rPr>
          <w:rFonts w:ascii="宋体" w:hAnsi="宋体"/>
          <w:sz w:val="24"/>
        </w:rPr>
        <w:sectPr w:rsidR="00EF58AF">
          <w:footerReference w:type="default" r:id="rId71"/>
          <w:type w:val="continuous"/>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78" w:name="_Toc384992709"/>
      <w:bookmarkStart w:id="179" w:name="_Toc348082047"/>
      <w:bookmarkStart w:id="180" w:name="_Toc3276866"/>
      <w:bookmarkStart w:id="181" w:name="CLAUSE_0edbdfc79ee74f15b2a5095eb68f0827"/>
      <w:r>
        <w:rPr>
          <w:rFonts w:ascii="宋体" w:eastAsia="宋体" w:hAnsi="宋体"/>
        </w:rPr>
        <w:lastRenderedPageBreak/>
        <w:t xml:space="preserve"> </w:t>
      </w:r>
      <w:bookmarkStart w:id="182" w:name="CTS_0edbdfc79ee74f15b2a5095eb68f0827"/>
      <w:bookmarkEnd w:id="182"/>
      <w:r>
        <w:rPr>
          <w:rFonts w:ascii="宋体" w:eastAsia="宋体" w:hAnsi="宋体"/>
        </w:rPr>
        <w:t xml:space="preserve">   </w:t>
      </w:r>
      <w:r>
        <w:rPr>
          <w:rFonts w:ascii="宋体" w:eastAsia="宋体" w:hAnsi="宋体" w:hint="eastAsia"/>
        </w:rPr>
        <w:t>托管协议的效力</w:t>
      </w:r>
      <w:bookmarkEnd w:id="178"/>
      <w:bookmarkEnd w:id="179"/>
      <w:bookmarkEnd w:id="180"/>
    </w:p>
    <w:p w:rsidR="00EF58AF" w:rsidRDefault="003764FD">
      <w:pPr>
        <w:spacing w:line="360" w:lineRule="auto"/>
        <w:ind w:firstLineChars="200" w:firstLine="480"/>
        <w:contextualSpacing/>
        <w:rPr>
          <w:rFonts w:ascii="宋体" w:hAnsi="宋体"/>
          <w:sz w:val="24"/>
        </w:rPr>
      </w:pPr>
      <w:r>
        <w:rPr>
          <w:rFonts w:ascii="宋体" w:hAnsi="宋体" w:hint="eastAsia"/>
          <w:sz w:val="24"/>
        </w:rPr>
        <w:t>双方对托管协议的效力约定如下：</w:t>
      </w:r>
    </w:p>
    <w:p w:rsidR="00EF58AF" w:rsidRDefault="003764FD">
      <w:pPr>
        <w:spacing w:line="360" w:lineRule="auto"/>
        <w:ind w:firstLineChars="200" w:firstLine="480"/>
        <w:contextualSpacing/>
        <w:rPr>
          <w:rFonts w:ascii="宋体" w:hAnsi="宋体"/>
          <w:sz w:val="24"/>
        </w:rPr>
      </w:pPr>
      <w:r>
        <w:rPr>
          <w:rFonts w:ascii="宋体" w:hAnsi="宋体" w:hint="eastAsia"/>
          <w:sz w:val="24"/>
        </w:rPr>
        <w:t>（一）基金管理人在向中国证监会申请基金募集注册时提交的托管协议，应经托管协议当事人双方盖章以及双方法定代表人或授权代表签字或盖章，协议当事人双方根据中国证监会的意见修改并正式签署托管协议。托管协议以中国证监会注册的文本为正式文本。</w:t>
      </w:r>
    </w:p>
    <w:p w:rsidR="00EF58AF" w:rsidRDefault="003764FD">
      <w:pPr>
        <w:spacing w:line="360" w:lineRule="auto"/>
        <w:ind w:firstLineChars="200" w:firstLine="480"/>
        <w:contextualSpacing/>
        <w:rPr>
          <w:rFonts w:ascii="宋体" w:hAnsi="宋体"/>
          <w:sz w:val="24"/>
        </w:rPr>
      </w:pPr>
      <w:r>
        <w:rPr>
          <w:rFonts w:ascii="宋体" w:hAnsi="宋体" w:hint="eastAsia"/>
          <w:sz w:val="24"/>
        </w:rPr>
        <w:t>（二）托管协议自基金合同成立之日起成立，自基金合同生效之日起生效。托管协议的有效期自其生效之日起至基金财产清算结果报中国证监会备案并公告之日止。</w:t>
      </w:r>
    </w:p>
    <w:p w:rsidR="00EF58AF" w:rsidRDefault="003764FD">
      <w:pPr>
        <w:spacing w:line="360" w:lineRule="auto"/>
        <w:ind w:firstLineChars="200" w:firstLine="480"/>
        <w:contextualSpacing/>
        <w:rPr>
          <w:rFonts w:ascii="宋体" w:hAnsi="宋体"/>
          <w:sz w:val="24"/>
        </w:rPr>
      </w:pPr>
      <w:r>
        <w:rPr>
          <w:rFonts w:ascii="宋体" w:hAnsi="宋体" w:hint="eastAsia"/>
          <w:sz w:val="24"/>
        </w:rPr>
        <w:t>（三）托管协议自生效之日起对托管协议当事人具有同等的法律约束力。</w:t>
      </w:r>
    </w:p>
    <w:p w:rsidR="00EF58AF" w:rsidRDefault="003764FD">
      <w:pPr>
        <w:spacing w:line="360" w:lineRule="auto"/>
        <w:ind w:firstLineChars="200" w:firstLine="480"/>
        <w:contextualSpacing/>
        <w:rPr>
          <w:rFonts w:ascii="宋体" w:hAnsi="宋体"/>
          <w:sz w:val="24"/>
        </w:rPr>
      </w:pPr>
      <w:r>
        <w:rPr>
          <w:rFonts w:ascii="宋体" w:hAnsi="宋体" w:hint="eastAsia"/>
          <w:sz w:val="24"/>
        </w:rPr>
        <w:t>（四）本协议一式三份，协议双方各持一份，由基金管理人根据需要上报监管机构一份，每份具有同等法律效力。</w:t>
      </w:r>
    </w:p>
    <w:bookmarkEnd w:id="181"/>
    <w:p w:rsidR="00EF58AF" w:rsidRDefault="00EF58AF">
      <w:pPr>
        <w:spacing w:line="360" w:lineRule="auto"/>
        <w:ind w:firstLineChars="200" w:firstLine="480"/>
        <w:contextualSpacing/>
        <w:rPr>
          <w:rFonts w:ascii="宋体" w:hAnsi="宋体"/>
          <w:sz w:val="24"/>
        </w:rPr>
        <w:sectPr w:rsidR="00EF58AF">
          <w:footerReference w:type="default" r:id="rId72"/>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83" w:name="_Toc384992710"/>
      <w:bookmarkStart w:id="184" w:name="_Toc348082048"/>
      <w:bookmarkStart w:id="185" w:name="_Toc3276867"/>
      <w:bookmarkStart w:id="186" w:name="CLAUSE_ef77158db4244c4896d00920fd2b4b7b"/>
      <w:r>
        <w:rPr>
          <w:rFonts w:ascii="宋体" w:eastAsia="宋体" w:hAnsi="宋体"/>
        </w:rPr>
        <w:lastRenderedPageBreak/>
        <w:t xml:space="preserve"> </w:t>
      </w:r>
      <w:bookmarkStart w:id="187" w:name="CTS_ef77158db4244c4896d00920fd2b4b7b"/>
      <w:bookmarkEnd w:id="187"/>
      <w:r>
        <w:rPr>
          <w:rFonts w:ascii="宋体" w:eastAsia="宋体" w:hAnsi="宋体"/>
        </w:rPr>
        <w:t xml:space="preserve">   </w:t>
      </w:r>
      <w:r>
        <w:rPr>
          <w:rFonts w:ascii="宋体" w:eastAsia="宋体" w:hAnsi="宋体" w:hint="eastAsia"/>
        </w:rPr>
        <w:t>其他事项</w:t>
      </w:r>
      <w:bookmarkEnd w:id="183"/>
      <w:bookmarkEnd w:id="184"/>
      <w:bookmarkEnd w:id="185"/>
    </w:p>
    <w:p w:rsidR="00EF58AF" w:rsidRDefault="003764FD">
      <w:pPr>
        <w:spacing w:line="360" w:lineRule="auto"/>
        <w:ind w:firstLineChars="200" w:firstLine="480"/>
        <w:contextualSpacing/>
        <w:rPr>
          <w:rFonts w:ascii="宋体" w:hAnsi="宋体"/>
          <w:sz w:val="24"/>
        </w:rPr>
      </w:pPr>
      <w:r>
        <w:rPr>
          <w:rFonts w:ascii="宋体" w:hAnsi="宋体" w:hint="eastAsia"/>
          <w:sz w:val="24"/>
        </w:rPr>
        <w:t>如发生有权司法机关依法冻结基金份额持有人的基金份额时，基金管理人应予以配合，承担司法协助义务。</w:t>
      </w:r>
    </w:p>
    <w:p w:rsidR="00EF58AF" w:rsidRDefault="003764FD">
      <w:pPr>
        <w:spacing w:line="360" w:lineRule="auto"/>
        <w:ind w:firstLineChars="200" w:firstLine="480"/>
        <w:contextualSpacing/>
        <w:rPr>
          <w:rFonts w:ascii="宋体" w:hAnsi="宋体"/>
          <w:sz w:val="24"/>
        </w:rPr>
      </w:pPr>
      <w:r>
        <w:rPr>
          <w:rFonts w:ascii="宋体" w:hAnsi="宋体" w:hint="eastAsia"/>
          <w:sz w:val="24"/>
        </w:rPr>
        <w:t>除本协议有明确定义外，本协议的用语定义适用基金合同的约定。本协议未尽事宜，当事人依据基金合同、有关法律法规等规定协商办理。</w:t>
      </w:r>
    </w:p>
    <w:p w:rsidR="00EF58AF" w:rsidRDefault="003764FD">
      <w:pPr>
        <w:spacing w:line="360" w:lineRule="auto"/>
        <w:ind w:firstLineChars="200" w:firstLine="480"/>
        <w:contextualSpacing/>
        <w:rPr>
          <w:rFonts w:ascii="宋体" w:hAnsi="宋体"/>
          <w:sz w:val="24"/>
        </w:rPr>
      </w:pPr>
      <w:r>
        <w:rPr>
          <w:rFonts w:ascii="宋体" w:hAnsi="宋体" w:hint="eastAsia"/>
          <w:sz w:val="24"/>
        </w:rPr>
        <w:t>本协议附件构成本协议不可分割的组成部分。</w:t>
      </w:r>
    </w:p>
    <w:bookmarkEnd w:id="186"/>
    <w:p w:rsidR="00EF58AF" w:rsidRDefault="00EF58AF">
      <w:pPr>
        <w:spacing w:line="360" w:lineRule="auto"/>
        <w:ind w:firstLineChars="200" w:firstLine="480"/>
        <w:contextualSpacing/>
        <w:rPr>
          <w:rFonts w:ascii="宋体" w:hAnsi="宋体"/>
          <w:sz w:val="24"/>
        </w:rPr>
        <w:sectPr w:rsidR="00EF58AF">
          <w:footerReference w:type="default" r:id="rId73"/>
          <w:pgSz w:w="11906" w:h="16838"/>
          <w:pgMar w:top="1418" w:right="1701" w:bottom="1418" w:left="1701" w:header="851" w:footer="992" w:gutter="0"/>
          <w:pgNumType w:start="1" w:chapStyle="1"/>
          <w:cols w:space="425"/>
          <w:docGrid w:type="lines" w:linePitch="312"/>
        </w:sectPr>
      </w:pPr>
    </w:p>
    <w:p w:rsidR="00EF58AF" w:rsidRDefault="003764FD">
      <w:pPr>
        <w:pStyle w:val="ac"/>
        <w:numPr>
          <w:ilvl w:val="0"/>
          <w:numId w:val="2"/>
        </w:numPr>
        <w:spacing w:before="100" w:beforeAutospacing="1" w:after="100" w:afterAutospacing="1"/>
        <w:ind w:left="0" w:firstLine="0"/>
        <w:rPr>
          <w:rFonts w:ascii="宋体" w:eastAsia="宋体" w:hAnsi="宋体"/>
        </w:rPr>
      </w:pPr>
      <w:bookmarkStart w:id="188" w:name="_Toc3276868"/>
      <w:bookmarkStart w:id="189" w:name="_Toc348082049"/>
      <w:bookmarkStart w:id="190" w:name="_Toc384992711"/>
      <w:bookmarkStart w:id="191" w:name="CLAUSE_21b2d0fce39e458b881a6acf05e113ec"/>
      <w:r>
        <w:rPr>
          <w:rFonts w:ascii="宋体" w:eastAsia="宋体" w:hAnsi="宋体"/>
        </w:rPr>
        <w:lastRenderedPageBreak/>
        <w:t xml:space="preserve"> </w:t>
      </w:r>
      <w:bookmarkStart w:id="192" w:name="CTS_21b2d0fce39e458b881a6acf05e113ec"/>
      <w:bookmarkEnd w:id="192"/>
      <w:r>
        <w:rPr>
          <w:rFonts w:ascii="宋体" w:eastAsia="宋体" w:hAnsi="宋体"/>
        </w:rPr>
        <w:t xml:space="preserve">   </w:t>
      </w:r>
      <w:r>
        <w:rPr>
          <w:rFonts w:ascii="宋体" w:eastAsia="宋体" w:hAnsi="宋体" w:hint="eastAsia"/>
        </w:rPr>
        <w:t>托管协议的签订</w:t>
      </w:r>
      <w:bookmarkEnd w:id="188"/>
      <w:bookmarkEnd w:id="189"/>
      <w:bookmarkEnd w:id="190"/>
    </w:p>
    <w:p w:rsidR="00EF58AF" w:rsidRDefault="003764FD">
      <w:pPr>
        <w:spacing w:line="360" w:lineRule="auto"/>
        <w:ind w:firstLineChars="200" w:firstLine="480"/>
        <w:contextualSpacing/>
        <w:rPr>
          <w:rFonts w:ascii="宋体" w:hAnsi="宋体"/>
          <w:sz w:val="24"/>
        </w:rPr>
      </w:pPr>
      <w:r>
        <w:rPr>
          <w:rFonts w:ascii="宋体" w:hAnsi="宋体" w:hint="eastAsia"/>
          <w:sz w:val="24"/>
        </w:rPr>
        <w:t>本协议双方法定代表人或授权代表人签章、签订地、签订日。</w:t>
      </w:r>
    </w:p>
    <w:p w:rsidR="00EF58AF" w:rsidRDefault="00EF58AF">
      <w:pPr>
        <w:spacing w:line="360" w:lineRule="auto"/>
        <w:contextualSpacing/>
        <w:rPr>
          <w:rFonts w:ascii="宋体" w:hAnsi="宋体"/>
          <w:sz w:val="24"/>
        </w:rPr>
      </w:pPr>
    </w:p>
    <w:bookmarkEnd w:id="7"/>
    <w:bookmarkEnd w:id="8"/>
    <w:bookmarkEnd w:id="9"/>
    <w:bookmarkEnd w:id="191"/>
    <w:p w:rsidR="00EF58AF" w:rsidRDefault="00EF58AF">
      <w:pPr>
        <w:spacing w:line="360" w:lineRule="auto"/>
        <w:ind w:firstLineChars="200" w:firstLine="480"/>
        <w:contextualSpacing/>
        <w:rPr>
          <w:rFonts w:ascii="宋体" w:hAnsi="宋体"/>
          <w:sz w:val="24"/>
        </w:rPr>
        <w:sectPr w:rsidR="00EF58AF">
          <w:footerReference w:type="default" r:id="rId74"/>
          <w:pgSz w:w="11906" w:h="16838"/>
          <w:pgMar w:top="1418" w:right="1701" w:bottom="1418" w:left="1701" w:header="851" w:footer="992" w:gutter="0"/>
          <w:pgNumType w:start="1" w:chapStyle="1"/>
          <w:cols w:space="425"/>
          <w:docGrid w:type="lines" w:linePitch="312"/>
        </w:sectPr>
      </w:pPr>
    </w:p>
    <w:p w:rsidR="00EF58AF" w:rsidRDefault="003764FD">
      <w:pPr>
        <w:spacing w:line="360" w:lineRule="auto"/>
        <w:contextualSpacing/>
        <w:rPr>
          <w:rFonts w:ascii="宋体" w:hAnsi="宋体"/>
          <w:sz w:val="24"/>
        </w:rPr>
      </w:pPr>
      <w:bookmarkStart w:id="193" w:name="CLAUSE_6eae47de7a574b50b4ae849139c98b19"/>
      <w:r>
        <w:rPr>
          <w:rFonts w:ascii="宋体" w:hAnsi="宋体"/>
        </w:rPr>
        <w:lastRenderedPageBreak/>
        <w:t xml:space="preserve"> </w:t>
      </w:r>
      <w:bookmarkStart w:id="194" w:name="CTS_6eae47de7a574b50b4ae849139c98b19"/>
      <w:bookmarkEnd w:id="194"/>
      <w:r>
        <w:rPr>
          <w:rFonts w:ascii="宋体" w:hAnsi="宋体" w:hint="eastAsia"/>
          <w:sz w:val="24"/>
          <w:szCs w:val="21"/>
        </w:rPr>
        <w:t>本页为《东方阿尔法招阳混合型证券投资基金托管协议》签署页，无正文）</w:t>
      </w:r>
    </w:p>
    <w:p w:rsidR="00EF58AF" w:rsidRDefault="00EF58AF">
      <w:pPr>
        <w:widowControl/>
        <w:jc w:val="left"/>
        <w:rPr>
          <w:rFonts w:ascii="宋体" w:hAnsi="宋体"/>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3764FD">
      <w:pPr>
        <w:tabs>
          <w:tab w:val="left" w:pos="5115"/>
        </w:tabs>
        <w:adjustRightInd w:val="0"/>
        <w:snapToGrid w:val="0"/>
        <w:spacing w:line="360" w:lineRule="auto"/>
        <w:ind w:firstLineChars="200" w:firstLine="562"/>
        <w:rPr>
          <w:rFonts w:ascii="宋体" w:hAnsi="宋体" w:cs="Arial"/>
          <w:b/>
          <w:sz w:val="28"/>
          <w:szCs w:val="28"/>
        </w:rPr>
      </w:pPr>
      <w:r>
        <w:rPr>
          <w:rFonts w:ascii="宋体" w:hAnsi="宋体" w:cs="Arial"/>
          <w:b/>
          <w:sz w:val="28"/>
          <w:szCs w:val="28"/>
        </w:rPr>
        <w:tab/>
      </w:r>
    </w:p>
    <w:p w:rsidR="00EF58AF" w:rsidRDefault="003764FD">
      <w:pPr>
        <w:adjustRightInd w:val="0"/>
        <w:snapToGrid w:val="0"/>
        <w:spacing w:line="360" w:lineRule="auto"/>
        <w:ind w:firstLineChars="200" w:firstLine="562"/>
        <w:rPr>
          <w:rFonts w:ascii="宋体" w:hAnsi="宋体" w:cs="Arial"/>
          <w:sz w:val="28"/>
          <w:szCs w:val="28"/>
        </w:rPr>
      </w:pPr>
      <w:r>
        <w:rPr>
          <w:rFonts w:ascii="宋体" w:hAnsi="宋体" w:cs="Arial" w:hint="eastAsia"/>
          <w:b/>
          <w:sz w:val="28"/>
          <w:szCs w:val="28"/>
        </w:rPr>
        <w:t>基金管理人：</w:t>
      </w:r>
      <w:r>
        <w:rPr>
          <w:rFonts w:ascii="宋体" w:hAnsi="宋体" w:cs="Arial" w:hint="eastAsia"/>
          <w:sz w:val="28"/>
          <w:szCs w:val="28"/>
        </w:rPr>
        <w:t>东方阿尔法基金管理有限公司</w:t>
      </w:r>
      <w:r>
        <w:rPr>
          <w:rFonts w:ascii="宋体" w:hAnsi="宋体" w:cs="Arial"/>
          <w:sz w:val="28"/>
          <w:szCs w:val="28"/>
        </w:rPr>
        <w:t xml:space="preserve"> </w:t>
      </w:r>
      <w:r>
        <w:rPr>
          <w:rFonts w:ascii="宋体" w:hAnsi="宋体" w:cs="Arial" w:hint="eastAsia"/>
          <w:sz w:val="28"/>
          <w:szCs w:val="28"/>
        </w:rPr>
        <w:t>（公章）</w:t>
      </w: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3764FD">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法定代表人或授权代表（签字）：</w:t>
      </w:r>
      <w:r>
        <w:rPr>
          <w:rFonts w:ascii="宋体" w:hAnsi="宋体" w:cs="Arial"/>
          <w:b/>
          <w:sz w:val="28"/>
          <w:szCs w:val="28"/>
        </w:rPr>
        <w:t xml:space="preserve">                   </w:t>
      </w: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3764FD">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签订日期：</w:t>
      </w:r>
      <w:r>
        <w:rPr>
          <w:rFonts w:ascii="宋体" w:hAnsi="宋体" w:cs="Arial"/>
          <w:b/>
          <w:sz w:val="28"/>
          <w:szCs w:val="28"/>
        </w:rPr>
        <w:t xml:space="preserve">          </w:t>
      </w:r>
      <w:r>
        <w:rPr>
          <w:rFonts w:ascii="宋体" w:hAnsi="宋体" w:cs="Arial" w:hint="eastAsia"/>
          <w:sz w:val="28"/>
          <w:szCs w:val="28"/>
        </w:rPr>
        <w:t>年</w:t>
      </w:r>
      <w:r>
        <w:rPr>
          <w:rFonts w:ascii="宋体" w:hAnsi="宋体" w:cs="Arial"/>
          <w:sz w:val="28"/>
          <w:szCs w:val="28"/>
        </w:rPr>
        <w:t xml:space="preserve">     月    日</w:t>
      </w:r>
    </w:p>
    <w:p w:rsidR="00EF58AF" w:rsidRDefault="003764FD">
      <w:pPr>
        <w:adjustRightInd w:val="0"/>
        <w:snapToGrid w:val="0"/>
        <w:spacing w:line="360" w:lineRule="auto"/>
        <w:ind w:firstLineChars="200" w:firstLine="562"/>
        <w:rPr>
          <w:rFonts w:ascii="宋体" w:hAnsi="宋体" w:cs="Arial"/>
          <w:b/>
          <w:sz w:val="28"/>
          <w:szCs w:val="28"/>
        </w:rPr>
      </w:pPr>
      <w:r>
        <w:rPr>
          <w:rFonts w:ascii="宋体" w:hAnsi="宋体" w:cs="Arial"/>
          <w:b/>
          <w:sz w:val="28"/>
          <w:szCs w:val="28"/>
        </w:rPr>
        <w:t>签署地</w:t>
      </w:r>
      <w:r>
        <w:rPr>
          <w:rFonts w:ascii="宋体" w:hAnsi="宋体" w:cs="Arial" w:hint="eastAsia"/>
          <w:b/>
          <w:sz w:val="28"/>
          <w:szCs w:val="28"/>
        </w:rPr>
        <w:t>：</w:t>
      </w: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3764FD">
      <w:pPr>
        <w:adjustRightInd w:val="0"/>
        <w:snapToGrid w:val="0"/>
        <w:spacing w:line="360" w:lineRule="auto"/>
        <w:ind w:firstLineChars="200" w:firstLine="562"/>
        <w:rPr>
          <w:rFonts w:ascii="宋体" w:hAnsi="宋体" w:cs="Arial"/>
          <w:sz w:val="28"/>
          <w:szCs w:val="28"/>
        </w:rPr>
      </w:pPr>
      <w:r>
        <w:rPr>
          <w:rFonts w:ascii="宋体" w:hAnsi="宋体" w:cs="Arial" w:hint="eastAsia"/>
          <w:b/>
          <w:sz w:val="28"/>
          <w:szCs w:val="28"/>
        </w:rPr>
        <w:t>基金托管人：</w:t>
      </w:r>
      <w:r>
        <w:rPr>
          <w:rFonts w:ascii="宋体" w:hAnsi="宋体" w:cs="Arial" w:hint="eastAsia"/>
          <w:sz w:val="28"/>
          <w:szCs w:val="28"/>
        </w:rPr>
        <w:t>招商银行股份有限公司</w:t>
      </w:r>
      <w:r>
        <w:rPr>
          <w:rFonts w:ascii="宋体" w:hAnsi="宋体" w:cs="Arial"/>
          <w:sz w:val="28"/>
          <w:szCs w:val="28"/>
        </w:rPr>
        <w:t xml:space="preserve"> </w:t>
      </w:r>
      <w:r>
        <w:rPr>
          <w:rFonts w:ascii="宋体" w:hAnsi="宋体" w:cs="Arial" w:hint="eastAsia"/>
          <w:sz w:val="28"/>
          <w:szCs w:val="28"/>
        </w:rPr>
        <w:t>（公章）</w:t>
      </w: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3764FD">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法定代表人或授权代表（签字）：</w:t>
      </w:r>
      <w:r>
        <w:rPr>
          <w:rFonts w:ascii="宋体" w:hAnsi="宋体" w:cs="Arial"/>
          <w:b/>
          <w:sz w:val="28"/>
          <w:szCs w:val="28"/>
        </w:rPr>
        <w:t xml:space="preserve">                   </w:t>
      </w: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EF58AF">
      <w:pPr>
        <w:adjustRightInd w:val="0"/>
        <w:snapToGrid w:val="0"/>
        <w:spacing w:line="360" w:lineRule="auto"/>
        <w:ind w:firstLineChars="200" w:firstLine="562"/>
        <w:rPr>
          <w:rFonts w:ascii="宋体" w:hAnsi="宋体" w:cs="Arial"/>
          <w:b/>
          <w:sz w:val="28"/>
          <w:szCs w:val="28"/>
        </w:rPr>
      </w:pPr>
    </w:p>
    <w:p w:rsidR="00EF58AF" w:rsidRDefault="003764FD">
      <w:pPr>
        <w:adjustRightInd w:val="0"/>
        <w:snapToGrid w:val="0"/>
        <w:spacing w:line="360" w:lineRule="auto"/>
        <w:ind w:firstLineChars="200" w:firstLine="562"/>
        <w:rPr>
          <w:rFonts w:ascii="宋体" w:hAnsi="宋体" w:cs="Arial"/>
          <w:sz w:val="28"/>
          <w:szCs w:val="28"/>
        </w:rPr>
      </w:pPr>
      <w:r>
        <w:rPr>
          <w:rFonts w:ascii="宋体" w:hAnsi="宋体" w:cs="Arial" w:hint="eastAsia"/>
          <w:b/>
          <w:sz w:val="28"/>
          <w:szCs w:val="28"/>
        </w:rPr>
        <w:t>签订日期：</w:t>
      </w:r>
      <w:r>
        <w:rPr>
          <w:rFonts w:ascii="宋体" w:hAnsi="宋体" w:cs="Arial"/>
          <w:b/>
          <w:sz w:val="28"/>
          <w:szCs w:val="28"/>
        </w:rPr>
        <w:t xml:space="preserve">          </w:t>
      </w:r>
      <w:r>
        <w:rPr>
          <w:rFonts w:ascii="宋体" w:hAnsi="宋体" w:cs="Arial" w:hint="eastAsia"/>
          <w:sz w:val="28"/>
          <w:szCs w:val="28"/>
        </w:rPr>
        <w:t>年</w:t>
      </w:r>
      <w:r>
        <w:rPr>
          <w:rFonts w:ascii="宋体" w:hAnsi="宋体" w:cs="Arial"/>
          <w:sz w:val="28"/>
          <w:szCs w:val="28"/>
        </w:rPr>
        <w:t xml:space="preserve">     </w:t>
      </w:r>
      <w:r>
        <w:rPr>
          <w:rFonts w:ascii="宋体" w:hAnsi="宋体" w:cs="Arial" w:hint="eastAsia"/>
          <w:sz w:val="28"/>
          <w:szCs w:val="28"/>
        </w:rPr>
        <w:t>月</w:t>
      </w:r>
      <w:r>
        <w:rPr>
          <w:rFonts w:ascii="宋体" w:hAnsi="宋体" w:cs="Arial"/>
          <w:sz w:val="28"/>
          <w:szCs w:val="28"/>
        </w:rPr>
        <w:t xml:space="preserve">    </w:t>
      </w:r>
      <w:r>
        <w:rPr>
          <w:rFonts w:ascii="宋体" w:hAnsi="宋体" w:cs="Arial" w:hint="eastAsia"/>
          <w:sz w:val="28"/>
          <w:szCs w:val="28"/>
        </w:rPr>
        <w:t>日</w:t>
      </w:r>
    </w:p>
    <w:p w:rsidR="00EF58AF" w:rsidRDefault="003764FD">
      <w:pPr>
        <w:adjustRightInd w:val="0"/>
        <w:snapToGrid w:val="0"/>
        <w:spacing w:line="360" w:lineRule="auto"/>
        <w:ind w:firstLineChars="200" w:firstLine="562"/>
        <w:rPr>
          <w:rFonts w:ascii="宋体" w:hAnsi="宋体"/>
          <w:b/>
        </w:rPr>
      </w:pPr>
      <w:r>
        <w:rPr>
          <w:rFonts w:ascii="宋体" w:hAnsi="宋体" w:cs="Arial"/>
          <w:b/>
          <w:sz w:val="28"/>
          <w:szCs w:val="28"/>
        </w:rPr>
        <w:t>签署地</w:t>
      </w:r>
      <w:r>
        <w:rPr>
          <w:rFonts w:ascii="宋体" w:hAnsi="宋体" w:cs="Arial" w:hint="eastAsia"/>
          <w:b/>
          <w:sz w:val="28"/>
          <w:szCs w:val="28"/>
        </w:rPr>
        <w:t>：</w:t>
      </w:r>
      <w:bookmarkEnd w:id="193"/>
    </w:p>
    <w:sectPr w:rsidR="00EF58AF">
      <w:footerReference w:type="default" r:id="rId75"/>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CC3" w:rsidRDefault="00B61CC3">
      <w:r>
        <w:separator/>
      </w:r>
    </w:p>
  </w:endnote>
  <w:endnote w:type="continuationSeparator" w:id="0">
    <w:p w:rsidR="00B61CC3" w:rsidRDefault="00B61C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方正仿宋简体">
    <w:altName w:val="微软雅黑"/>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TimesNewRomanPSMT">
    <w:altName w:val="Times New Roman"/>
    <w:charset w:val="00"/>
    <w:family w:val="roman"/>
    <w:pitch w:val="default"/>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jc w:val="center"/>
    </w:pPr>
    <w:r>
      <w:fldChar w:fldCharType="begin"/>
    </w:r>
    <w:r>
      <w:instrText>PAGE   \* MERGEFORMAT</w:instrText>
    </w:r>
    <w:r>
      <w:fldChar w:fldCharType="separate"/>
    </w:r>
    <w:r w:rsidR="00D74DA2" w:rsidRPr="00D74DA2">
      <w:rPr>
        <w:noProof/>
        <w:lang w:val="zh-CN"/>
      </w:rPr>
      <w:t>II</w:t>
    </w:r>
    <w:r>
      <w:fldChar w:fldCharType="end"/>
    </w:r>
  </w:p>
  <w:p w:rsidR="00EF58AF" w:rsidRDefault="00EF58AF">
    <w:pPr>
      <w:pStyle w:val="a9"/>
      <w:ind w:left="420"/>
    </w:pPr>
  </w:p>
  <w:p w:rsidR="00EF58AF" w:rsidRDefault="00EF58AF">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20" w:firstLine="3996"/>
    </w:pPr>
    <w:r>
      <w:fldChar w:fldCharType="begin"/>
    </w:r>
    <w:r>
      <w:instrText>PAGE   \* MERGEFORMAT</w:instrText>
    </w:r>
    <w:r>
      <w:fldChar w:fldCharType="separate"/>
    </w:r>
    <w:r w:rsidR="00D74DA2" w:rsidRPr="00D74DA2">
      <w:rPr>
        <w:noProof/>
        <w:lang w:val="zh-CN"/>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p w:rsidR="00EF58AF" w:rsidRDefault="00EF58AF"/>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20" w:firstLine="3996"/>
    </w:pPr>
    <w:r>
      <w:fldChar w:fldCharType="begin"/>
    </w:r>
    <w:r>
      <w:instrText>PAGE   \* MERGEFORMAT</w:instrText>
    </w:r>
    <w:r>
      <w:fldChar w:fldCharType="separate"/>
    </w:r>
    <w:r w:rsidR="00D74DA2" w:rsidRPr="00D74DA2">
      <w:rPr>
        <w:noProof/>
        <w:lang w:val="zh-CN"/>
      </w:rPr>
      <w:t>11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p w:rsidR="00EF58AF" w:rsidRDefault="00EF58AF"/>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4</w:t>
    </w:r>
    <w:r>
      <w:fldChar w:fldCharType="end"/>
    </w:r>
  </w:p>
  <w:p w:rsidR="00EF58AF" w:rsidRDefault="00EF58AF">
    <w:pPr>
      <w:pStyle w:val="a9"/>
      <w:ind w:left="420"/>
    </w:pPr>
  </w:p>
  <w:p w:rsidR="00EF58AF" w:rsidRDefault="00EF58AF"/>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5</w:t>
    </w:r>
    <w:r>
      <w:fldChar w:fldCharType="end"/>
    </w:r>
  </w:p>
  <w:p w:rsidR="00EF58AF" w:rsidRDefault="00EF58AF">
    <w:pPr>
      <w:pStyle w:val="a9"/>
      <w:ind w:left="420"/>
    </w:pPr>
  </w:p>
  <w:p w:rsidR="00EF58AF" w:rsidRDefault="00EF58AF"/>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4</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2</w:t>
    </w:r>
    <w: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ind w:left="0" w:firstLineChars="2200" w:firstLine="3960"/>
    </w:pPr>
    <w:r>
      <w:fldChar w:fldCharType="begin"/>
    </w:r>
    <w:r>
      <w:instrText>PAGE   \* MERGEFORMAT</w:instrText>
    </w:r>
    <w:r>
      <w:fldChar w:fldCharType="separate"/>
    </w:r>
    <w:r w:rsidR="00D74DA2" w:rsidRPr="00D74DA2">
      <w:rPr>
        <w:noProof/>
        <w:lang w:val="zh-CN"/>
      </w:rPr>
      <w:t>1</w:t>
    </w:r>
    <w: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20" w:firstLine="3996"/>
    </w:pPr>
    <w:r>
      <w:fldChar w:fldCharType="begin"/>
    </w:r>
    <w:r>
      <w:instrText>PAGE   \* MERGEFORMAT</w:instrText>
    </w:r>
    <w:r>
      <w:fldChar w:fldCharType="separate"/>
    </w:r>
    <w:r w:rsidR="00D74DA2" w:rsidRPr="00D74DA2">
      <w:rPr>
        <w:noProof/>
        <w:lang w:val="zh-CN"/>
      </w:rPr>
      <w:t>2</w:t>
    </w:r>
    <w: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2</w:t>
    </w:r>
    <w:r>
      <w:fldChar w:fldCharType="end"/>
    </w:r>
  </w:p>
  <w:p w:rsidR="00EF58AF" w:rsidRDefault="00EF58AF">
    <w:pPr>
      <w:pStyle w:val="a9"/>
      <w:ind w:left="42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20" w:firstLine="3996"/>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t>1</w:t>
    </w:r>
  </w:p>
  <w:p w:rsidR="00EF58AF" w:rsidRDefault="00EF58AF">
    <w:pPr>
      <w:pStyle w:val="a9"/>
      <w:ind w:left="42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t>1</w:t>
    </w:r>
  </w:p>
  <w:p w:rsidR="00EF58AF" w:rsidRDefault="00EF58AF">
    <w:pPr>
      <w:pStyle w:val="a9"/>
      <w:ind w:left="42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ind w:left="42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4153"/>
        <w:tab w:val="clear" w:pos="8306"/>
        <w:tab w:val="center"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p w:rsidR="00EF58AF" w:rsidRDefault="00EF58AF">
    <w:pPr>
      <w:pStyle w:val="a9"/>
      <w:tabs>
        <w:tab w:val="clear" w:pos="8306"/>
        <w:tab w:val="right" w:pos="4253"/>
      </w:tabs>
      <w:ind w:left="42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9"/>
      <w:numPr>
        <w:ilvl w:val="0"/>
        <w:numId w:val="1"/>
      </w:numPr>
      <w:tabs>
        <w:tab w:val="clear" w:pos="8306"/>
        <w:tab w:val="right" w:pos="4253"/>
      </w:tabs>
      <w:ind w:left="0" w:firstLineChars="2200" w:firstLine="3960"/>
    </w:pPr>
    <w:r>
      <w:fldChar w:fldCharType="begin"/>
    </w:r>
    <w:r>
      <w:instrText>PAGE   \* MERGEFORMAT</w:instrText>
    </w:r>
    <w:r>
      <w:fldChar w:fldCharType="separate"/>
    </w:r>
    <w:r w:rsidR="00D74DA2" w:rsidRPr="00D74DA2">
      <w:rPr>
        <w:noProof/>
        <w:lang w:val="zh-CN"/>
      </w:rPr>
      <w:t>1</w:t>
    </w:r>
    <w:r>
      <w:fldChar w:fldCharType="end"/>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EF58AF">
    <w:pPr>
      <w:pStyle w:val="a9"/>
      <w:ind w:left="3906"/>
    </w:pPr>
  </w:p>
  <w:p w:rsidR="00EF58AF" w:rsidRDefault="00EF58A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CC3" w:rsidRDefault="00B61CC3">
      <w:r>
        <w:separator/>
      </w:r>
    </w:p>
  </w:footnote>
  <w:footnote w:type="continuationSeparator" w:id="0">
    <w:p w:rsidR="00B61CC3" w:rsidRDefault="00B61C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a"/>
      <w:jc w:val="right"/>
      <w:rPr>
        <w:rFonts w:ascii="宋体" w:hAnsi="宋体"/>
      </w:rPr>
    </w:pPr>
    <w:r>
      <w:rPr>
        <w:rFonts w:ascii="宋体" w:hAnsi="宋体" w:cs="宋体" w:hint="eastAsia"/>
      </w:rPr>
      <w:t>东方</w:t>
    </w:r>
    <w:proofErr w:type="gramStart"/>
    <w:r>
      <w:rPr>
        <w:rFonts w:ascii="宋体" w:hAnsi="宋体" w:cs="宋体" w:hint="eastAsia"/>
      </w:rPr>
      <w:t>阿尔法招阳混合型</w:t>
    </w:r>
    <w:proofErr w:type="gramEnd"/>
    <w:r>
      <w:rPr>
        <w:rFonts w:ascii="宋体" w:hAnsi="宋体" w:hint="eastAsia"/>
      </w:rPr>
      <w:t>证券投资基金托管协议</w:t>
    </w:r>
    <w:r w:rsidR="00494816">
      <w:rPr>
        <w:rFonts w:ascii="宋体" w:hAnsi="宋体" w:hint="eastAsia"/>
      </w:rPr>
      <w:t>（2</w:t>
    </w:r>
    <w:r w:rsidR="00494816">
      <w:rPr>
        <w:rFonts w:ascii="宋体" w:hAnsi="宋体"/>
      </w:rPr>
      <w:t>023年</w:t>
    </w:r>
    <w:r w:rsidR="00494816">
      <w:rPr>
        <w:rFonts w:ascii="宋体" w:hAnsi="宋体" w:hint="eastAsia"/>
      </w:rPr>
      <w:t>8月修订）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58AF" w:rsidRDefault="003764FD">
    <w:pPr>
      <w:pStyle w:val="aa"/>
      <w:ind w:right="180"/>
      <w:jc w:val="right"/>
      <w:rPr>
        <w:rFonts w:ascii="宋体" w:hAnsi="宋体"/>
      </w:rPr>
    </w:pPr>
    <w:r>
      <w:rPr>
        <w:rFonts w:ascii="宋体" w:hAnsi="宋体" w:cs="宋体" w:hint="eastAsia"/>
      </w:rPr>
      <w:t>东方</w:t>
    </w:r>
    <w:proofErr w:type="gramStart"/>
    <w:r>
      <w:rPr>
        <w:rFonts w:ascii="宋体" w:hAnsi="宋体" w:cs="宋体" w:hint="eastAsia"/>
      </w:rPr>
      <w:t>阿尔法招阳混合型</w:t>
    </w:r>
    <w:proofErr w:type="gramEnd"/>
    <w:r>
      <w:rPr>
        <w:rFonts w:ascii="宋体" w:hAnsi="宋体" w:hint="eastAsia"/>
      </w:rPr>
      <w:t>证券投资基金托管协议</w:t>
    </w:r>
    <w:r w:rsidR="00494816">
      <w:rPr>
        <w:rFonts w:ascii="宋体" w:hAnsi="宋体" w:hint="eastAsia"/>
      </w:rPr>
      <w:t>（2</w:t>
    </w:r>
    <w:r w:rsidR="00494816">
      <w:rPr>
        <w:rFonts w:ascii="宋体" w:hAnsi="宋体"/>
      </w:rPr>
      <w:t>023年</w:t>
    </w:r>
    <w:r w:rsidR="00494816">
      <w:rPr>
        <w:rFonts w:ascii="宋体" w:hAnsi="宋体" w:hint="eastAsia"/>
      </w:rPr>
      <w:t>8月修订）</w:t>
    </w:r>
  </w:p>
  <w:p w:rsidR="00EF58AF" w:rsidRDefault="003764FD">
    <w:pPr>
      <w:tabs>
        <w:tab w:val="left" w:pos="7367"/>
      </w:tabs>
      <w:rPr>
        <w:rFonts w:ascii="宋体" w:hAnsi="宋体"/>
      </w:rPr>
    </w:pPr>
    <w:r>
      <w:rPr>
        <w:rFonts w:ascii="宋体" w:hAnsi="宋体"/>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850DBD"/>
    <w:multiLevelType w:val="multilevel"/>
    <w:tmpl w:val="3F850DBD"/>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526244A3"/>
    <w:multiLevelType w:val="multilevel"/>
    <w:tmpl w:val="526244A3"/>
    <w:lvl w:ilvl="0">
      <w:start w:val="1"/>
      <w:numFmt w:val="decimal"/>
      <w:lvlText w:val="%1-"/>
      <w:lvlJc w:val="left"/>
      <w:pPr>
        <w:ind w:left="7083" w:hanging="4248"/>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5D2231EA"/>
    <w:multiLevelType w:val="multilevel"/>
    <w:tmpl w:val="5D2231EA"/>
    <w:lvl w:ilvl="0">
      <w:start w:val="1"/>
      <w:numFmt w:val="chineseCountingThousand"/>
      <w:lvlText w:val="第%1部分"/>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xNTllODEyNmQ2Y2E2N2Q0ZDBhNjk2MzczYzdmMTcifQ=="/>
    <w:docVar w:name="KSO_WPS_MARK_KEY" w:val="26f329c6-4a58-4e52-8ce8-b805603b64c2"/>
  </w:docVars>
  <w:rsids>
    <w:rsidRoot w:val="00172A27"/>
    <w:rsid w:val="00000D9D"/>
    <w:rsid w:val="00001AB6"/>
    <w:rsid w:val="00001E42"/>
    <w:rsid w:val="00002977"/>
    <w:rsid w:val="00003DDD"/>
    <w:rsid w:val="00004215"/>
    <w:rsid w:val="000051CC"/>
    <w:rsid w:val="00006B9A"/>
    <w:rsid w:val="00007C2F"/>
    <w:rsid w:val="00010125"/>
    <w:rsid w:val="0001044F"/>
    <w:rsid w:val="00014D21"/>
    <w:rsid w:val="00016A01"/>
    <w:rsid w:val="00017201"/>
    <w:rsid w:val="00020201"/>
    <w:rsid w:val="000218F2"/>
    <w:rsid w:val="00022D6C"/>
    <w:rsid w:val="00023EE9"/>
    <w:rsid w:val="00024205"/>
    <w:rsid w:val="00027D10"/>
    <w:rsid w:val="0003094D"/>
    <w:rsid w:val="00031A4E"/>
    <w:rsid w:val="00031D78"/>
    <w:rsid w:val="00031D96"/>
    <w:rsid w:val="00035380"/>
    <w:rsid w:val="00035F02"/>
    <w:rsid w:val="0003716D"/>
    <w:rsid w:val="00041EA9"/>
    <w:rsid w:val="00042898"/>
    <w:rsid w:val="000441B2"/>
    <w:rsid w:val="00045017"/>
    <w:rsid w:val="00045690"/>
    <w:rsid w:val="00046DB8"/>
    <w:rsid w:val="00047948"/>
    <w:rsid w:val="00047EDD"/>
    <w:rsid w:val="00050BBE"/>
    <w:rsid w:val="00052827"/>
    <w:rsid w:val="00052BEE"/>
    <w:rsid w:val="00052D58"/>
    <w:rsid w:val="00053108"/>
    <w:rsid w:val="00062381"/>
    <w:rsid w:val="00064E77"/>
    <w:rsid w:val="00066315"/>
    <w:rsid w:val="00066AA1"/>
    <w:rsid w:val="0006703B"/>
    <w:rsid w:val="0006718A"/>
    <w:rsid w:val="00067DA7"/>
    <w:rsid w:val="00071723"/>
    <w:rsid w:val="000719D4"/>
    <w:rsid w:val="00072176"/>
    <w:rsid w:val="0007281A"/>
    <w:rsid w:val="00073C1A"/>
    <w:rsid w:val="00074758"/>
    <w:rsid w:val="00074F42"/>
    <w:rsid w:val="00076C89"/>
    <w:rsid w:val="0007714A"/>
    <w:rsid w:val="00080AFA"/>
    <w:rsid w:val="00080E58"/>
    <w:rsid w:val="0008111E"/>
    <w:rsid w:val="00082FA8"/>
    <w:rsid w:val="0009016D"/>
    <w:rsid w:val="00090707"/>
    <w:rsid w:val="00091E90"/>
    <w:rsid w:val="0009373C"/>
    <w:rsid w:val="0009481B"/>
    <w:rsid w:val="00094E50"/>
    <w:rsid w:val="00095055"/>
    <w:rsid w:val="00096097"/>
    <w:rsid w:val="00097239"/>
    <w:rsid w:val="000A1593"/>
    <w:rsid w:val="000A1777"/>
    <w:rsid w:val="000A20C8"/>
    <w:rsid w:val="000A5690"/>
    <w:rsid w:val="000B165E"/>
    <w:rsid w:val="000B3268"/>
    <w:rsid w:val="000B6AA8"/>
    <w:rsid w:val="000B7ED2"/>
    <w:rsid w:val="000C100E"/>
    <w:rsid w:val="000C1D2F"/>
    <w:rsid w:val="000C1FA6"/>
    <w:rsid w:val="000C26FF"/>
    <w:rsid w:val="000C3CD6"/>
    <w:rsid w:val="000C5514"/>
    <w:rsid w:val="000C5A20"/>
    <w:rsid w:val="000C6767"/>
    <w:rsid w:val="000C68E7"/>
    <w:rsid w:val="000C6E67"/>
    <w:rsid w:val="000C6FAD"/>
    <w:rsid w:val="000D0C00"/>
    <w:rsid w:val="000D38A7"/>
    <w:rsid w:val="000D7E47"/>
    <w:rsid w:val="000E35CB"/>
    <w:rsid w:val="000E5A57"/>
    <w:rsid w:val="000E6573"/>
    <w:rsid w:val="000E7A28"/>
    <w:rsid w:val="000F0E6F"/>
    <w:rsid w:val="000F2B08"/>
    <w:rsid w:val="000F3622"/>
    <w:rsid w:val="000F3A96"/>
    <w:rsid w:val="00100945"/>
    <w:rsid w:val="00101318"/>
    <w:rsid w:val="00101B58"/>
    <w:rsid w:val="00101B7F"/>
    <w:rsid w:val="00102071"/>
    <w:rsid w:val="00104483"/>
    <w:rsid w:val="0010485A"/>
    <w:rsid w:val="00105067"/>
    <w:rsid w:val="001051B2"/>
    <w:rsid w:val="00105310"/>
    <w:rsid w:val="001061A0"/>
    <w:rsid w:val="00110704"/>
    <w:rsid w:val="00113B59"/>
    <w:rsid w:val="00115064"/>
    <w:rsid w:val="00117512"/>
    <w:rsid w:val="00117827"/>
    <w:rsid w:val="0011783B"/>
    <w:rsid w:val="00120287"/>
    <w:rsid w:val="00120ABE"/>
    <w:rsid w:val="0012207D"/>
    <w:rsid w:val="001229D4"/>
    <w:rsid w:val="001230A8"/>
    <w:rsid w:val="00123A37"/>
    <w:rsid w:val="00124047"/>
    <w:rsid w:val="001244CF"/>
    <w:rsid w:val="00126670"/>
    <w:rsid w:val="00130A39"/>
    <w:rsid w:val="00131569"/>
    <w:rsid w:val="00132D3A"/>
    <w:rsid w:val="00133130"/>
    <w:rsid w:val="0013367F"/>
    <w:rsid w:val="00133C5C"/>
    <w:rsid w:val="00134CB2"/>
    <w:rsid w:val="00135008"/>
    <w:rsid w:val="00135F72"/>
    <w:rsid w:val="00136679"/>
    <w:rsid w:val="00140CFC"/>
    <w:rsid w:val="00141356"/>
    <w:rsid w:val="0014144E"/>
    <w:rsid w:val="00143922"/>
    <w:rsid w:val="001451B1"/>
    <w:rsid w:val="00146246"/>
    <w:rsid w:val="001474E7"/>
    <w:rsid w:val="0015269B"/>
    <w:rsid w:val="00153191"/>
    <w:rsid w:val="00153CD2"/>
    <w:rsid w:val="00154524"/>
    <w:rsid w:val="0015665A"/>
    <w:rsid w:val="00156A3F"/>
    <w:rsid w:val="00157A64"/>
    <w:rsid w:val="00160684"/>
    <w:rsid w:val="00160700"/>
    <w:rsid w:val="00161DD2"/>
    <w:rsid w:val="001630E0"/>
    <w:rsid w:val="00163E74"/>
    <w:rsid w:val="00165121"/>
    <w:rsid w:val="00170A79"/>
    <w:rsid w:val="00172530"/>
    <w:rsid w:val="00172A27"/>
    <w:rsid w:val="0017370E"/>
    <w:rsid w:val="00173ABD"/>
    <w:rsid w:val="001744A2"/>
    <w:rsid w:val="00174565"/>
    <w:rsid w:val="001748DD"/>
    <w:rsid w:val="001750E6"/>
    <w:rsid w:val="00175369"/>
    <w:rsid w:val="0017567C"/>
    <w:rsid w:val="00176684"/>
    <w:rsid w:val="00182D88"/>
    <w:rsid w:val="001831E9"/>
    <w:rsid w:val="00183963"/>
    <w:rsid w:val="001842F4"/>
    <w:rsid w:val="00184DF0"/>
    <w:rsid w:val="00185465"/>
    <w:rsid w:val="00185825"/>
    <w:rsid w:val="00185AD1"/>
    <w:rsid w:val="0018653A"/>
    <w:rsid w:val="00187DF8"/>
    <w:rsid w:val="0019194A"/>
    <w:rsid w:val="001945D9"/>
    <w:rsid w:val="001961E4"/>
    <w:rsid w:val="00197C29"/>
    <w:rsid w:val="001A243A"/>
    <w:rsid w:val="001A27BB"/>
    <w:rsid w:val="001A31BA"/>
    <w:rsid w:val="001A4014"/>
    <w:rsid w:val="001A4100"/>
    <w:rsid w:val="001A4AD2"/>
    <w:rsid w:val="001A4E81"/>
    <w:rsid w:val="001A6734"/>
    <w:rsid w:val="001A7C0D"/>
    <w:rsid w:val="001B07DD"/>
    <w:rsid w:val="001B3B5D"/>
    <w:rsid w:val="001B4EB8"/>
    <w:rsid w:val="001C044F"/>
    <w:rsid w:val="001C0471"/>
    <w:rsid w:val="001C2010"/>
    <w:rsid w:val="001C2A8E"/>
    <w:rsid w:val="001C3C95"/>
    <w:rsid w:val="001C5B7E"/>
    <w:rsid w:val="001C7718"/>
    <w:rsid w:val="001D0D88"/>
    <w:rsid w:val="001D25D0"/>
    <w:rsid w:val="001D2820"/>
    <w:rsid w:val="001D4655"/>
    <w:rsid w:val="001D46C2"/>
    <w:rsid w:val="001D5CCB"/>
    <w:rsid w:val="001D66FD"/>
    <w:rsid w:val="001D695B"/>
    <w:rsid w:val="001D747C"/>
    <w:rsid w:val="001D7716"/>
    <w:rsid w:val="001E2E4D"/>
    <w:rsid w:val="001E53F7"/>
    <w:rsid w:val="001E5F15"/>
    <w:rsid w:val="001F0F63"/>
    <w:rsid w:val="001F2D81"/>
    <w:rsid w:val="001F31FB"/>
    <w:rsid w:val="001F4169"/>
    <w:rsid w:val="001F4B60"/>
    <w:rsid w:val="001F6F44"/>
    <w:rsid w:val="00200167"/>
    <w:rsid w:val="002009F5"/>
    <w:rsid w:val="00200A19"/>
    <w:rsid w:val="002019B6"/>
    <w:rsid w:val="00201BFB"/>
    <w:rsid w:val="00201FEC"/>
    <w:rsid w:val="00202B5A"/>
    <w:rsid w:val="002061DE"/>
    <w:rsid w:val="00206847"/>
    <w:rsid w:val="002071A9"/>
    <w:rsid w:val="00212935"/>
    <w:rsid w:val="00213778"/>
    <w:rsid w:val="002145EE"/>
    <w:rsid w:val="00215314"/>
    <w:rsid w:val="00216CAA"/>
    <w:rsid w:val="002171CB"/>
    <w:rsid w:val="002174A6"/>
    <w:rsid w:val="00220573"/>
    <w:rsid w:val="002215D2"/>
    <w:rsid w:val="002216E7"/>
    <w:rsid w:val="00221872"/>
    <w:rsid w:val="00222341"/>
    <w:rsid w:val="00222498"/>
    <w:rsid w:val="0022434C"/>
    <w:rsid w:val="00230087"/>
    <w:rsid w:val="002306C9"/>
    <w:rsid w:val="00231B62"/>
    <w:rsid w:val="002330CA"/>
    <w:rsid w:val="002332D3"/>
    <w:rsid w:val="00234248"/>
    <w:rsid w:val="002379E0"/>
    <w:rsid w:val="00237AD7"/>
    <w:rsid w:val="0024032B"/>
    <w:rsid w:val="00241451"/>
    <w:rsid w:val="00242261"/>
    <w:rsid w:val="00242944"/>
    <w:rsid w:val="00242E69"/>
    <w:rsid w:val="00246B69"/>
    <w:rsid w:val="00247986"/>
    <w:rsid w:val="00247FC1"/>
    <w:rsid w:val="0025406A"/>
    <w:rsid w:val="00256DD5"/>
    <w:rsid w:val="0026065F"/>
    <w:rsid w:val="002631C1"/>
    <w:rsid w:val="00264185"/>
    <w:rsid w:val="0026421A"/>
    <w:rsid w:val="00264E05"/>
    <w:rsid w:val="00265601"/>
    <w:rsid w:val="00267009"/>
    <w:rsid w:val="00271A77"/>
    <w:rsid w:val="00272689"/>
    <w:rsid w:val="002759C1"/>
    <w:rsid w:val="00275EA7"/>
    <w:rsid w:val="00276CBA"/>
    <w:rsid w:val="002778F9"/>
    <w:rsid w:val="00280AE5"/>
    <w:rsid w:val="00280CA4"/>
    <w:rsid w:val="0028292F"/>
    <w:rsid w:val="00284894"/>
    <w:rsid w:val="00285E1A"/>
    <w:rsid w:val="0028655B"/>
    <w:rsid w:val="00286B7E"/>
    <w:rsid w:val="00287B07"/>
    <w:rsid w:val="00287DD6"/>
    <w:rsid w:val="00290F28"/>
    <w:rsid w:val="00291ACE"/>
    <w:rsid w:val="00292831"/>
    <w:rsid w:val="00292A48"/>
    <w:rsid w:val="0029563B"/>
    <w:rsid w:val="002961C9"/>
    <w:rsid w:val="002A0B4E"/>
    <w:rsid w:val="002A2BDE"/>
    <w:rsid w:val="002A790E"/>
    <w:rsid w:val="002A7E73"/>
    <w:rsid w:val="002B11CF"/>
    <w:rsid w:val="002B19DD"/>
    <w:rsid w:val="002B2AD4"/>
    <w:rsid w:val="002B39E6"/>
    <w:rsid w:val="002B3F62"/>
    <w:rsid w:val="002B56C3"/>
    <w:rsid w:val="002B6EA9"/>
    <w:rsid w:val="002B7266"/>
    <w:rsid w:val="002B7527"/>
    <w:rsid w:val="002C06EA"/>
    <w:rsid w:val="002C2B27"/>
    <w:rsid w:val="002C6520"/>
    <w:rsid w:val="002C6DF2"/>
    <w:rsid w:val="002C78A3"/>
    <w:rsid w:val="002C7C3C"/>
    <w:rsid w:val="002D03ED"/>
    <w:rsid w:val="002D155A"/>
    <w:rsid w:val="002D1D4F"/>
    <w:rsid w:val="002D1F8A"/>
    <w:rsid w:val="002D204F"/>
    <w:rsid w:val="002D3D6E"/>
    <w:rsid w:val="002E05C3"/>
    <w:rsid w:val="002E185B"/>
    <w:rsid w:val="002E3683"/>
    <w:rsid w:val="002E3DED"/>
    <w:rsid w:val="002E46D7"/>
    <w:rsid w:val="002E54B5"/>
    <w:rsid w:val="002E73AA"/>
    <w:rsid w:val="002F1E2E"/>
    <w:rsid w:val="002F2074"/>
    <w:rsid w:val="002F211E"/>
    <w:rsid w:val="002F2273"/>
    <w:rsid w:val="002F3083"/>
    <w:rsid w:val="002F3F6D"/>
    <w:rsid w:val="002F545C"/>
    <w:rsid w:val="002F5D64"/>
    <w:rsid w:val="002F66B1"/>
    <w:rsid w:val="002F68F6"/>
    <w:rsid w:val="002F6BE0"/>
    <w:rsid w:val="00301784"/>
    <w:rsid w:val="003026F5"/>
    <w:rsid w:val="00302701"/>
    <w:rsid w:val="00306429"/>
    <w:rsid w:val="0031082D"/>
    <w:rsid w:val="0031096A"/>
    <w:rsid w:val="003123ED"/>
    <w:rsid w:val="003126AA"/>
    <w:rsid w:val="003137F2"/>
    <w:rsid w:val="0031445C"/>
    <w:rsid w:val="00314BC1"/>
    <w:rsid w:val="00314DC8"/>
    <w:rsid w:val="003154CF"/>
    <w:rsid w:val="003160DE"/>
    <w:rsid w:val="00317638"/>
    <w:rsid w:val="0031786C"/>
    <w:rsid w:val="00320987"/>
    <w:rsid w:val="00322A50"/>
    <w:rsid w:val="00323511"/>
    <w:rsid w:val="00324D62"/>
    <w:rsid w:val="0032522B"/>
    <w:rsid w:val="00330885"/>
    <w:rsid w:val="00330931"/>
    <w:rsid w:val="003336F7"/>
    <w:rsid w:val="00334F74"/>
    <w:rsid w:val="003369A7"/>
    <w:rsid w:val="00342DF8"/>
    <w:rsid w:val="003431C7"/>
    <w:rsid w:val="00345036"/>
    <w:rsid w:val="00347257"/>
    <w:rsid w:val="00350717"/>
    <w:rsid w:val="003532E6"/>
    <w:rsid w:val="003533AB"/>
    <w:rsid w:val="00353894"/>
    <w:rsid w:val="00354F15"/>
    <w:rsid w:val="00355528"/>
    <w:rsid w:val="00355FD9"/>
    <w:rsid w:val="003571CB"/>
    <w:rsid w:val="00360142"/>
    <w:rsid w:val="00360258"/>
    <w:rsid w:val="00360FE3"/>
    <w:rsid w:val="003659AF"/>
    <w:rsid w:val="0037101B"/>
    <w:rsid w:val="00371CDD"/>
    <w:rsid w:val="003726C2"/>
    <w:rsid w:val="003764FD"/>
    <w:rsid w:val="00383076"/>
    <w:rsid w:val="00387900"/>
    <w:rsid w:val="003936BA"/>
    <w:rsid w:val="0039673F"/>
    <w:rsid w:val="003979A1"/>
    <w:rsid w:val="003A1410"/>
    <w:rsid w:val="003A30E5"/>
    <w:rsid w:val="003A4492"/>
    <w:rsid w:val="003A4F07"/>
    <w:rsid w:val="003A6B7B"/>
    <w:rsid w:val="003A726C"/>
    <w:rsid w:val="003B1C76"/>
    <w:rsid w:val="003B5DEA"/>
    <w:rsid w:val="003B6C38"/>
    <w:rsid w:val="003C02BF"/>
    <w:rsid w:val="003C0916"/>
    <w:rsid w:val="003C104A"/>
    <w:rsid w:val="003C29ED"/>
    <w:rsid w:val="003C5B01"/>
    <w:rsid w:val="003C5DC5"/>
    <w:rsid w:val="003C756C"/>
    <w:rsid w:val="003D3A28"/>
    <w:rsid w:val="003D49AD"/>
    <w:rsid w:val="003D4BBC"/>
    <w:rsid w:val="003D5389"/>
    <w:rsid w:val="003D7BA3"/>
    <w:rsid w:val="003E0139"/>
    <w:rsid w:val="003E0AD5"/>
    <w:rsid w:val="003E16F3"/>
    <w:rsid w:val="003E172C"/>
    <w:rsid w:val="003E21A2"/>
    <w:rsid w:val="003E337F"/>
    <w:rsid w:val="003E38F3"/>
    <w:rsid w:val="003E46C5"/>
    <w:rsid w:val="003E5056"/>
    <w:rsid w:val="003E57E8"/>
    <w:rsid w:val="003E76D7"/>
    <w:rsid w:val="003F5756"/>
    <w:rsid w:val="003F62DF"/>
    <w:rsid w:val="003F784C"/>
    <w:rsid w:val="004008A7"/>
    <w:rsid w:val="00401C64"/>
    <w:rsid w:val="004038C3"/>
    <w:rsid w:val="00405405"/>
    <w:rsid w:val="00405438"/>
    <w:rsid w:val="004071F8"/>
    <w:rsid w:val="0040782C"/>
    <w:rsid w:val="00407946"/>
    <w:rsid w:val="00407EAB"/>
    <w:rsid w:val="00411088"/>
    <w:rsid w:val="00412D2C"/>
    <w:rsid w:val="00413681"/>
    <w:rsid w:val="00414208"/>
    <w:rsid w:val="004142E4"/>
    <w:rsid w:val="00414E41"/>
    <w:rsid w:val="00416DA4"/>
    <w:rsid w:val="00423845"/>
    <w:rsid w:val="004255F7"/>
    <w:rsid w:val="00425D01"/>
    <w:rsid w:val="004265DC"/>
    <w:rsid w:val="004275E3"/>
    <w:rsid w:val="00427FD7"/>
    <w:rsid w:val="004300A8"/>
    <w:rsid w:val="00430BC5"/>
    <w:rsid w:val="00431AC3"/>
    <w:rsid w:val="00431F66"/>
    <w:rsid w:val="004324F7"/>
    <w:rsid w:val="00434945"/>
    <w:rsid w:val="004359C6"/>
    <w:rsid w:val="004365D5"/>
    <w:rsid w:val="00437913"/>
    <w:rsid w:val="00440182"/>
    <w:rsid w:val="00440E3A"/>
    <w:rsid w:val="0044103D"/>
    <w:rsid w:val="00442664"/>
    <w:rsid w:val="0044382F"/>
    <w:rsid w:val="00443C07"/>
    <w:rsid w:val="0044539E"/>
    <w:rsid w:val="0044748B"/>
    <w:rsid w:val="00450FE9"/>
    <w:rsid w:val="00451C63"/>
    <w:rsid w:val="00451F7B"/>
    <w:rsid w:val="004535FF"/>
    <w:rsid w:val="00455436"/>
    <w:rsid w:val="00457443"/>
    <w:rsid w:val="004607BB"/>
    <w:rsid w:val="004610F6"/>
    <w:rsid w:val="00461DD4"/>
    <w:rsid w:val="00461F61"/>
    <w:rsid w:val="00464303"/>
    <w:rsid w:val="004655D3"/>
    <w:rsid w:val="00467DCB"/>
    <w:rsid w:val="00470498"/>
    <w:rsid w:val="00470E62"/>
    <w:rsid w:val="0047119A"/>
    <w:rsid w:val="0047221F"/>
    <w:rsid w:val="00473797"/>
    <w:rsid w:val="00473B5C"/>
    <w:rsid w:val="00475541"/>
    <w:rsid w:val="00476249"/>
    <w:rsid w:val="00476933"/>
    <w:rsid w:val="0048026F"/>
    <w:rsid w:val="00482691"/>
    <w:rsid w:val="0048352D"/>
    <w:rsid w:val="00483841"/>
    <w:rsid w:val="0048566E"/>
    <w:rsid w:val="00485B11"/>
    <w:rsid w:val="00486012"/>
    <w:rsid w:val="0048671F"/>
    <w:rsid w:val="0048715E"/>
    <w:rsid w:val="0049049F"/>
    <w:rsid w:val="004912DF"/>
    <w:rsid w:val="00492BCA"/>
    <w:rsid w:val="00493296"/>
    <w:rsid w:val="00493DC8"/>
    <w:rsid w:val="00494816"/>
    <w:rsid w:val="00494817"/>
    <w:rsid w:val="004A4931"/>
    <w:rsid w:val="004A5543"/>
    <w:rsid w:val="004A7B50"/>
    <w:rsid w:val="004B0ED0"/>
    <w:rsid w:val="004B144E"/>
    <w:rsid w:val="004B2C2F"/>
    <w:rsid w:val="004B31DB"/>
    <w:rsid w:val="004B5BF4"/>
    <w:rsid w:val="004B5DF7"/>
    <w:rsid w:val="004B6573"/>
    <w:rsid w:val="004B752C"/>
    <w:rsid w:val="004B7C6E"/>
    <w:rsid w:val="004C007C"/>
    <w:rsid w:val="004C030B"/>
    <w:rsid w:val="004C0E0F"/>
    <w:rsid w:val="004C1423"/>
    <w:rsid w:val="004C142B"/>
    <w:rsid w:val="004C2330"/>
    <w:rsid w:val="004C491E"/>
    <w:rsid w:val="004C57A1"/>
    <w:rsid w:val="004C5801"/>
    <w:rsid w:val="004C707D"/>
    <w:rsid w:val="004D2553"/>
    <w:rsid w:val="004D2A62"/>
    <w:rsid w:val="004D2E26"/>
    <w:rsid w:val="004D2FCF"/>
    <w:rsid w:val="004D563C"/>
    <w:rsid w:val="004D5ACC"/>
    <w:rsid w:val="004E0F7D"/>
    <w:rsid w:val="004E1291"/>
    <w:rsid w:val="004E14CC"/>
    <w:rsid w:val="004E2AAF"/>
    <w:rsid w:val="004E4C55"/>
    <w:rsid w:val="004E7184"/>
    <w:rsid w:val="004F4237"/>
    <w:rsid w:val="004F42C1"/>
    <w:rsid w:val="004F52DE"/>
    <w:rsid w:val="004F6344"/>
    <w:rsid w:val="00503D3F"/>
    <w:rsid w:val="00504AC5"/>
    <w:rsid w:val="00505AC7"/>
    <w:rsid w:val="00510C61"/>
    <w:rsid w:val="00511C6C"/>
    <w:rsid w:val="005143A9"/>
    <w:rsid w:val="005158FA"/>
    <w:rsid w:val="00515D94"/>
    <w:rsid w:val="00521B52"/>
    <w:rsid w:val="0052319D"/>
    <w:rsid w:val="005248B6"/>
    <w:rsid w:val="00524C77"/>
    <w:rsid w:val="00526015"/>
    <w:rsid w:val="00527783"/>
    <w:rsid w:val="00527B02"/>
    <w:rsid w:val="00540B09"/>
    <w:rsid w:val="00541673"/>
    <w:rsid w:val="005451F9"/>
    <w:rsid w:val="005502D9"/>
    <w:rsid w:val="00550F23"/>
    <w:rsid w:val="00552526"/>
    <w:rsid w:val="00556EE6"/>
    <w:rsid w:val="00562DAF"/>
    <w:rsid w:val="00562DD1"/>
    <w:rsid w:val="005630A4"/>
    <w:rsid w:val="00563CCA"/>
    <w:rsid w:val="00564D50"/>
    <w:rsid w:val="005660EE"/>
    <w:rsid w:val="0056678C"/>
    <w:rsid w:val="00570215"/>
    <w:rsid w:val="00570851"/>
    <w:rsid w:val="00571B4A"/>
    <w:rsid w:val="00580351"/>
    <w:rsid w:val="00580A4E"/>
    <w:rsid w:val="005822B8"/>
    <w:rsid w:val="00582659"/>
    <w:rsid w:val="00583F43"/>
    <w:rsid w:val="005849A4"/>
    <w:rsid w:val="00586368"/>
    <w:rsid w:val="00586675"/>
    <w:rsid w:val="00586E7B"/>
    <w:rsid w:val="0058797B"/>
    <w:rsid w:val="00587C97"/>
    <w:rsid w:val="0059090B"/>
    <w:rsid w:val="00591E65"/>
    <w:rsid w:val="00593932"/>
    <w:rsid w:val="00594A4C"/>
    <w:rsid w:val="00596F0D"/>
    <w:rsid w:val="005A06D7"/>
    <w:rsid w:val="005A41FF"/>
    <w:rsid w:val="005A7140"/>
    <w:rsid w:val="005B018F"/>
    <w:rsid w:val="005B060E"/>
    <w:rsid w:val="005B1738"/>
    <w:rsid w:val="005B240C"/>
    <w:rsid w:val="005B2D96"/>
    <w:rsid w:val="005B4925"/>
    <w:rsid w:val="005B6483"/>
    <w:rsid w:val="005B66FD"/>
    <w:rsid w:val="005B685B"/>
    <w:rsid w:val="005B6A9D"/>
    <w:rsid w:val="005C0810"/>
    <w:rsid w:val="005C2546"/>
    <w:rsid w:val="005C4FF8"/>
    <w:rsid w:val="005C7F22"/>
    <w:rsid w:val="005D1432"/>
    <w:rsid w:val="005D1F7A"/>
    <w:rsid w:val="005D3BFB"/>
    <w:rsid w:val="005D58AE"/>
    <w:rsid w:val="005D6727"/>
    <w:rsid w:val="005D6AE2"/>
    <w:rsid w:val="005D7F1C"/>
    <w:rsid w:val="005E339E"/>
    <w:rsid w:val="005E6CEE"/>
    <w:rsid w:val="005E6E86"/>
    <w:rsid w:val="005F0B76"/>
    <w:rsid w:val="005F0EBB"/>
    <w:rsid w:val="005F20E0"/>
    <w:rsid w:val="005F288F"/>
    <w:rsid w:val="005F290B"/>
    <w:rsid w:val="005F2B6C"/>
    <w:rsid w:val="005F2BCB"/>
    <w:rsid w:val="005F3385"/>
    <w:rsid w:val="005F3898"/>
    <w:rsid w:val="005F3B5B"/>
    <w:rsid w:val="005F3CC2"/>
    <w:rsid w:val="005F3E7C"/>
    <w:rsid w:val="005F625F"/>
    <w:rsid w:val="005F688D"/>
    <w:rsid w:val="006033FA"/>
    <w:rsid w:val="006046D0"/>
    <w:rsid w:val="0060476E"/>
    <w:rsid w:val="00607523"/>
    <w:rsid w:val="006100CE"/>
    <w:rsid w:val="0061136C"/>
    <w:rsid w:val="006114C3"/>
    <w:rsid w:val="00611B88"/>
    <w:rsid w:val="00611F48"/>
    <w:rsid w:val="00613F8A"/>
    <w:rsid w:val="00613FA0"/>
    <w:rsid w:val="00615A06"/>
    <w:rsid w:val="00616760"/>
    <w:rsid w:val="00621321"/>
    <w:rsid w:val="00622090"/>
    <w:rsid w:val="006256CA"/>
    <w:rsid w:val="00627EBE"/>
    <w:rsid w:val="006309BC"/>
    <w:rsid w:val="00630D2C"/>
    <w:rsid w:val="0063207C"/>
    <w:rsid w:val="0063393F"/>
    <w:rsid w:val="00634C70"/>
    <w:rsid w:val="00635FBE"/>
    <w:rsid w:val="00636F17"/>
    <w:rsid w:val="0064031C"/>
    <w:rsid w:val="00644B26"/>
    <w:rsid w:val="006475D5"/>
    <w:rsid w:val="00651993"/>
    <w:rsid w:val="006520C3"/>
    <w:rsid w:val="00652128"/>
    <w:rsid w:val="00652650"/>
    <w:rsid w:val="00652DBF"/>
    <w:rsid w:val="00660A76"/>
    <w:rsid w:val="00663B13"/>
    <w:rsid w:val="00663E63"/>
    <w:rsid w:val="006645ED"/>
    <w:rsid w:val="00665AD5"/>
    <w:rsid w:val="00667E4B"/>
    <w:rsid w:val="00670047"/>
    <w:rsid w:val="00670B94"/>
    <w:rsid w:val="00671C50"/>
    <w:rsid w:val="0067266D"/>
    <w:rsid w:val="00672A62"/>
    <w:rsid w:val="00673714"/>
    <w:rsid w:val="0067725F"/>
    <w:rsid w:val="00677614"/>
    <w:rsid w:val="0068079E"/>
    <w:rsid w:val="00680842"/>
    <w:rsid w:val="00681481"/>
    <w:rsid w:val="006830C5"/>
    <w:rsid w:val="00683282"/>
    <w:rsid w:val="00683A15"/>
    <w:rsid w:val="006841EB"/>
    <w:rsid w:val="00685EC8"/>
    <w:rsid w:val="00687CB8"/>
    <w:rsid w:val="00691621"/>
    <w:rsid w:val="0069385D"/>
    <w:rsid w:val="00694C3B"/>
    <w:rsid w:val="00696B97"/>
    <w:rsid w:val="00696ED4"/>
    <w:rsid w:val="006975FC"/>
    <w:rsid w:val="006976F9"/>
    <w:rsid w:val="0069780E"/>
    <w:rsid w:val="006A2CB1"/>
    <w:rsid w:val="006A4448"/>
    <w:rsid w:val="006A54A7"/>
    <w:rsid w:val="006A6D16"/>
    <w:rsid w:val="006A7D48"/>
    <w:rsid w:val="006B027E"/>
    <w:rsid w:val="006B143A"/>
    <w:rsid w:val="006B1AB9"/>
    <w:rsid w:val="006B28E2"/>
    <w:rsid w:val="006B2978"/>
    <w:rsid w:val="006B42CE"/>
    <w:rsid w:val="006B61D0"/>
    <w:rsid w:val="006B6A5C"/>
    <w:rsid w:val="006B7B59"/>
    <w:rsid w:val="006C614A"/>
    <w:rsid w:val="006C7BF9"/>
    <w:rsid w:val="006C7C04"/>
    <w:rsid w:val="006D1968"/>
    <w:rsid w:val="006D2279"/>
    <w:rsid w:val="006D2E21"/>
    <w:rsid w:val="006D4FD1"/>
    <w:rsid w:val="006D5FE6"/>
    <w:rsid w:val="006D62EB"/>
    <w:rsid w:val="006E463B"/>
    <w:rsid w:val="006E56FE"/>
    <w:rsid w:val="006E5ECE"/>
    <w:rsid w:val="006E72D9"/>
    <w:rsid w:val="006E73CD"/>
    <w:rsid w:val="006E7E3E"/>
    <w:rsid w:val="006F0A26"/>
    <w:rsid w:val="006F1996"/>
    <w:rsid w:val="006F2464"/>
    <w:rsid w:val="006F2AD7"/>
    <w:rsid w:val="006F2C40"/>
    <w:rsid w:val="006F484B"/>
    <w:rsid w:val="00701585"/>
    <w:rsid w:val="007030BF"/>
    <w:rsid w:val="00703FD5"/>
    <w:rsid w:val="0070609D"/>
    <w:rsid w:val="007124F5"/>
    <w:rsid w:val="0071396E"/>
    <w:rsid w:val="007154C1"/>
    <w:rsid w:val="00717934"/>
    <w:rsid w:val="00720669"/>
    <w:rsid w:val="00720BB4"/>
    <w:rsid w:val="007216EF"/>
    <w:rsid w:val="00722A46"/>
    <w:rsid w:val="007235B6"/>
    <w:rsid w:val="007244D7"/>
    <w:rsid w:val="00725D15"/>
    <w:rsid w:val="00725F0B"/>
    <w:rsid w:val="0072643A"/>
    <w:rsid w:val="00731589"/>
    <w:rsid w:val="00731EEA"/>
    <w:rsid w:val="007328E1"/>
    <w:rsid w:val="00732CE8"/>
    <w:rsid w:val="00733512"/>
    <w:rsid w:val="00734A9B"/>
    <w:rsid w:val="00735EE5"/>
    <w:rsid w:val="00737389"/>
    <w:rsid w:val="007413F9"/>
    <w:rsid w:val="0074155D"/>
    <w:rsid w:val="00741591"/>
    <w:rsid w:val="00745084"/>
    <w:rsid w:val="00746CAE"/>
    <w:rsid w:val="0074751C"/>
    <w:rsid w:val="0075272C"/>
    <w:rsid w:val="00752925"/>
    <w:rsid w:val="0075647E"/>
    <w:rsid w:val="00756BF1"/>
    <w:rsid w:val="00756E58"/>
    <w:rsid w:val="00757919"/>
    <w:rsid w:val="00757EF2"/>
    <w:rsid w:val="0076074D"/>
    <w:rsid w:val="0076471D"/>
    <w:rsid w:val="007662C0"/>
    <w:rsid w:val="00766662"/>
    <w:rsid w:val="00766773"/>
    <w:rsid w:val="00766CC7"/>
    <w:rsid w:val="00766F04"/>
    <w:rsid w:val="00771F0C"/>
    <w:rsid w:val="0077494E"/>
    <w:rsid w:val="00774D42"/>
    <w:rsid w:val="007801DE"/>
    <w:rsid w:val="00780560"/>
    <w:rsid w:val="00781111"/>
    <w:rsid w:val="0078152B"/>
    <w:rsid w:val="007817D8"/>
    <w:rsid w:val="0078195F"/>
    <w:rsid w:val="00785A06"/>
    <w:rsid w:val="007861DB"/>
    <w:rsid w:val="0078628A"/>
    <w:rsid w:val="00787792"/>
    <w:rsid w:val="007911F6"/>
    <w:rsid w:val="007927A4"/>
    <w:rsid w:val="00792AAD"/>
    <w:rsid w:val="00793C1F"/>
    <w:rsid w:val="00794132"/>
    <w:rsid w:val="007960C0"/>
    <w:rsid w:val="00796B3C"/>
    <w:rsid w:val="00796DD2"/>
    <w:rsid w:val="00797097"/>
    <w:rsid w:val="00797644"/>
    <w:rsid w:val="007A0AE8"/>
    <w:rsid w:val="007A351B"/>
    <w:rsid w:val="007A3F9F"/>
    <w:rsid w:val="007A667B"/>
    <w:rsid w:val="007A6E8B"/>
    <w:rsid w:val="007A7FB5"/>
    <w:rsid w:val="007B02F4"/>
    <w:rsid w:val="007B0E25"/>
    <w:rsid w:val="007B2B86"/>
    <w:rsid w:val="007B2DFC"/>
    <w:rsid w:val="007B2EB0"/>
    <w:rsid w:val="007B47E8"/>
    <w:rsid w:val="007B4881"/>
    <w:rsid w:val="007B6529"/>
    <w:rsid w:val="007B65FA"/>
    <w:rsid w:val="007B6A4E"/>
    <w:rsid w:val="007C0329"/>
    <w:rsid w:val="007C1033"/>
    <w:rsid w:val="007C10A4"/>
    <w:rsid w:val="007C14CA"/>
    <w:rsid w:val="007C503F"/>
    <w:rsid w:val="007C7465"/>
    <w:rsid w:val="007D2175"/>
    <w:rsid w:val="007D5C10"/>
    <w:rsid w:val="007E1AC2"/>
    <w:rsid w:val="007E53FF"/>
    <w:rsid w:val="007E5CBC"/>
    <w:rsid w:val="007E6F7F"/>
    <w:rsid w:val="007E7A88"/>
    <w:rsid w:val="007F0197"/>
    <w:rsid w:val="007F0C87"/>
    <w:rsid w:val="007F24EB"/>
    <w:rsid w:val="007F64C0"/>
    <w:rsid w:val="0080033D"/>
    <w:rsid w:val="00800682"/>
    <w:rsid w:val="00800858"/>
    <w:rsid w:val="00800A9F"/>
    <w:rsid w:val="00801335"/>
    <w:rsid w:val="008016EE"/>
    <w:rsid w:val="00802ADF"/>
    <w:rsid w:val="008044EE"/>
    <w:rsid w:val="00805C2A"/>
    <w:rsid w:val="00805F2E"/>
    <w:rsid w:val="00806BB3"/>
    <w:rsid w:val="00806BE9"/>
    <w:rsid w:val="00807072"/>
    <w:rsid w:val="00807401"/>
    <w:rsid w:val="008104A0"/>
    <w:rsid w:val="00810902"/>
    <w:rsid w:val="00811A25"/>
    <w:rsid w:val="00811B28"/>
    <w:rsid w:val="00811F94"/>
    <w:rsid w:val="00812583"/>
    <w:rsid w:val="008132DD"/>
    <w:rsid w:val="00813A33"/>
    <w:rsid w:val="008150CF"/>
    <w:rsid w:val="00815297"/>
    <w:rsid w:val="008155F1"/>
    <w:rsid w:val="008164E2"/>
    <w:rsid w:val="00816C8E"/>
    <w:rsid w:val="00817F7E"/>
    <w:rsid w:val="00820A94"/>
    <w:rsid w:val="0082124A"/>
    <w:rsid w:val="00822FD6"/>
    <w:rsid w:val="0082507C"/>
    <w:rsid w:val="008268A7"/>
    <w:rsid w:val="00826953"/>
    <w:rsid w:val="008274A4"/>
    <w:rsid w:val="00830F1B"/>
    <w:rsid w:val="00832DBF"/>
    <w:rsid w:val="008334AE"/>
    <w:rsid w:val="00836508"/>
    <w:rsid w:val="00836E06"/>
    <w:rsid w:val="00842A4E"/>
    <w:rsid w:val="0084364F"/>
    <w:rsid w:val="0084367A"/>
    <w:rsid w:val="00843C14"/>
    <w:rsid w:val="008460EA"/>
    <w:rsid w:val="00846296"/>
    <w:rsid w:val="00852396"/>
    <w:rsid w:val="008546A6"/>
    <w:rsid w:val="00854772"/>
    <w:rsid w:val="0085557E"/>
    <w:rsid w:val="00860E5A"/>
    <w:rsid w:val="008626A6"/>
    <w:rsid w:val="008632B4"/>
    <w:rsid w:val="00863871"/>
    <w:rsid w:val="00865AA6"/>
    <w:rsid w:val="00870568"/>
    <w:rsid w:val="0087067E"/>
    <w:rsid w:val="00870727"/>
    <w:rsid w:val="0087191A"/>
    <w:rsid w:val="00873D4B"/>
    <w:rsid w:val="00874D56"/>
    <w:rsid w:val="00875DDC"/>
    <w:rsid w:val="00876005"/>
    <w:rsid w:val="0088000D"/>
    <w:rsid w:val="00880B97"/>
    <w:rsid w:val="00880D4D"/>
    <w:rsid w:val="00883850"/>
    <w:rsid w:val="00884A40"/>
    <w:rsid w:val="00884ADE"/>
    <w:rsid w:val="0088517F"/>
    <w:rsid w:val="0088608E"/>
    <w:rsid w:val="00895499"/>
    <w:rsid w:val="0089558B"/>
    <w:rsid w:val="00895C7C"/>
    <w:rsid w:val="00897577"/>
    <w:rsid w:val="008A0ABE"/>
    <w:rsid w:val="008A0D1F"/>
    <w:rsid w:val="008A0EC8"/>
    <w:rsid w:val="008A2276"/>
    <w:rsid w:val="008A2DBE"/>
    <w:rsid w:val="008A381C"/>
    <w:rsid w:val="008A475E"/>
    <w:rsid w:val="008A4AF8"/>
    <w:rsid w:val="008A4F88"/>
    <w:rsid w:val="008A583E"/>
    <w:rsid w:val="008A5B6B"/>
    <w:rsid w:val="008A654B"/>
    <w:rsid w:val="008A732B"/>
    <w:rsid w:val="008A7E71"/>
    <w:rsid w:val="008B007A"/>
    <w:rsid w:val="008B0E25"/>
    <w:rsid w:val="008B1A90"/>
    <w:rsid w:val="008B2160"/>
    <w:rsid w:val="008B35A5"/>
    <w:rsid w:val="008B3600"/>
    <w:rsid w:val="008B4216"/>
    <w:rsid w:val="008B6B89"/>
    <w:rsid w:val="008C0FCB"/>
    <w:rsid w:val="008C115C"/>
    <w:rsid w:val="008C3381"/>
    <w:rsid w:val="008C3733"/>
    <w:rsid w:val="008C5C9A"/>
    <w:rsid w:val="008D1B5E"/>
    <w:rsid w:val="008D2326"/>
    <w:rsid w:val="008D251D"/>
    <w:rsid w:val="008D3DBB"/>
    <w:rsid w:val="008D3E61"/>
    <w:rsid w:val="008D71DD"/>
    <w:rsid w:val="008D765C"/>
    <w:rsid w:val="008E6C96"/>
    <w:rsid w:val="008E74EC"/>
    <w:rsid w:val="008F2631"/>
    <w:rsid w:val="008F2B93"/>
    <w:rsid w:val="008F4D52"/>
    <w:rsid w:val="008F61C4"/>
    <w:rsid w:val="00900BD8"/>
    <w:rsid w:val="009045B4"/>
    <w:rsid w:val="00907862"/>
    <w:rsid w:val="0090792E"/>
    <w:rsid w:val="00907D99"/>
    <w:rsid w:val="00910249"/>
    <w:rsid w:val="00912228"/>
    <w:rsid w:val="00912E45"/>
    <w:rsid w:val="00912F9F"/>
    <w:rsid w:val="00913B61"/>
    <w:rsid w:val="00914B56"/>
    <w:rsid w:val="00916837"/>
    <w:rsid w:val="00917ABB"/>
    <w:rsid w:val="0092043E"/>
    <w:rsid w:val="009207A4"/>
    <w:rsid w:val="00920C72"/>
    <w:rsid w:val="00921C43"/>
    <w:rsid w:val="00921F94"/>
    <w:rsid w:val="00923A95"/>
    <w:rsid w:val="00923ADD"/>
    <w:rsid w:val="00925601"/>
    <w:rsid w:val="00925CD6"/>
    <w:rsid w:val="009261AE"/>
    <w:rsid w:val="00926997"/>
    <w:rsid w:val="00926B86"/>
    <w:rsid w:val="00927286"/>
    <w:rsid w:val="00932E80"/>
    <w:rsid w:val="00935656"/>
    <w:rsid w:val="0093571F"/>
    <w:rsid w:val="00935BE1"/>
    <w:rsid w:val="0094000A"/>
    <w:rsid w:val="0094102D"/>
    <w:rsid w:val="009420E5"/>
    <w:rsid w:val="0094215C"/>
    <w:rsid w:val="009428D7"/>
    <w:rsid w:val="009447D8"/>
    <w:rsid w:val="00944BA7"/>
    <w:rsid w:val="009454F9"/>
    <w:rsid w:val="0094778B"/>
    <w:rsid w:val="00950757"/>
    <w:rsid w:val="00950F26"/>
    <w:rsid w:val="00952181"/>
    <w:rsid w:val="00952965"/>
    <w:rsid w:val="00952B6F"/>
    <w:rsid w:val="00953D84"/>
    <w:rsid w:val="00954499"/>
    <w:rsid w:val="00954EED"/>
    <w:rsid w:val="009556C6"/>
    <w:rsid w:val="00955893"/>
    <w:rsid w:val="00957CFA"/>
    <w:rsid w:val="009615C7"/>
    <w:rsid w:val="00961AF3"/>
    <w:rsid w:val="00962DED"/>
    <w:rsid w:val="00963735"/>
    <w:rsid w:val="0096429B"/>
    <w:rsid w:val="0096585A"/>
    <w:rsid w:val="00966A97"/>
    <w:rsid w:val="00966E0D"/>
    <w:rsid w:val="00971C82"/>
    <w:rsid w:val="00971F2C"/>
    <w:rsid w:val="0097369D"/>
    <w:rsid w:val="0097648F"/>
    <w:rsid w:val="00977F16"/>
    <w:rsid w:val="00980FD0"/>
    <w:rsid w:val="00981211"/>
    <w:rsid w:val="00981EF2"/>
    <w:rsid w:val="00982ADC"/>
    <w:rsid w:val="00982B83"/>
    <w:rsid w:val="00983463"/>
    <w:rsid w:val="0098566E"/>
    <w:rsid w:val="00985BCB"/>
    <w:rsid w:val="00987B0E"/>
    <w:rsid w:val="0099009F"/>
    <w:rsid w:val="0099216A"/>
    <w:rsid w:val="00992E0F"/>
    <w:rsid w:val="00995CC4"/>
    <w:rsid w:val="00996942"/>
    <w:rsid w:val="009969AC"/>
    <w:rsid w:val="00997863"/>
    <w:rsid w:val="009A3982"/>
    <w:rsid w:val="009A3A62"/>
    <w:rsid w:val="009A3ED6"/>
    <w:rsid w:val="009A4C7F"/>
    <w:rsid w:val="009B00BD"/>
    <w:rsid w:val="009B18AE"/>
    <w:rsid w:val="009B2078"/>
    <w:rsid w:val="009B26B2"/>
    <w:rsid w:val="009B3884"/>
    <w:rsid w:val="009B3EC3"/>
    <w:rsid w:val="009B41D2"/>
    <w:rsid w:val="009B4212"/>
    <w:rsid w:val="009B4760"/>
    <w:rsid w:val="009B57E0"/>
    <w:rsid w:val="009B6196"/>
    <w:rsid w:val="009B7A78"/>
    <w:rsid w:val="009B7BEC"/>
    <w:rsid w:val="009C08FE"/>
    <w:rsid w:val="009C3F7E"/>
    <w:rsid w:val="009C4AAE"/>
    <w:rsid w:val="009C4DE8"/>
    <w:rsid w:val="009C4F2C"/>
    <w:rsid w:val="009C6C94"/>
    <w:rsid w:val="009C6D89"/>
    <w:rsid w:val="009C7626"/>
    <w:rsid w:val="009C7B0A"/>
    <w:rsid w:val="009D0F20"/>
    <w:rsid w:val="009D2609"/>
    <w:rsid w:val="009D6F1B"/>
    <w:rsid w:val="009D78E5"/>
    <w:rsid w:val="009E1622"/>
    <w:rsid w:val="009E1E56"/>
    <w:rsid w:val="009E2853"/>
    <w:rsid w:val="009E411C"/>
    <w:rsid w:val="009E59D7"/>
    <w:rsid w:val="009E5B23"/>
    <w:rsid w:val="009F0F8E"/>
    <w:rsid w:val="009F1F57"/>
    <w:rsid w:val="009F25A2"/>
    <w:rsid w:val="009F25AC"/>
    <w:rsid w:val="009F3FE1"/>
    <w:rsid w:val="009F43A4"/>
    <w:rsid w:val="009F44BF"/>
    <w:rsid w:val="009F4BB9"/>
    <w:rsid w:val="009F53A5"/>
    <w:rsid w:val="009F6C51"/>
    <w:rsid w:val="009F6D35"/>
    <w:rsid w:val="009F7828"/>
    <w:rsid w:val="009F7D62"/>
    <w:rsid w:val="00A01902"/>
    <w:rsid w:val="00A01C18"/>
    <w:rsid w:val="00A04270"/>
    <w:rsid w:val="00A0506D"/>
    <w:rsid w:val="00A063D0"/>
    <w:rsid w:val="00A07668"/>
    <w:rsid w:val="00A101E3"/>
    <w:rsid w:val="00A10943"/>
    <w:rsid w:val="00A13F97"/>
    <w:rsid w:val="00A15639"/>
    <w:rsid w:val="00A15F89"/>
    <w:rsid w:val="00A16593"/>
    <w:rsid w:val="00A21CE1"/>
    <w:rsid w:val="00A23188"/>
    <w:rsid w:val="00A246A9"/>
    <w:rsid w:val="00A26AB3"/>
    <w:rsid w:val="00A27125"/>
    <w:rsid w:val="00A27BEE"/>
    <w:rsid w:val="00A32231"/>
    <w:rsid w:val="00A352A1"/>
    <w:rsid w:val="00A36248"/>
    <w:rsid w:val="00A41504"/>
    <w:rsid w:val="00A419E5"/>
    <w:rsid w:val="00A42563"/>
    <w:rsid w:val="00A43156"/>
    <w:rsid w:val="00A47A31"/>
    <w:rsid w:val="00A47A6A"/>
    <w:rsid w:val="00A50139"/>
    <w:rsid w:val="00A5644B"/>
    <w:rsid w:val="00A603BB"/>
    <w:rsid w:val="00A6202F"/>
    <w:rsid w:val="00A620DD"/>
    <w:rsid w:val="00A64BBA"/>
    <w:rsid w:val="00A67C15"/>
    <w:rsid w:val="00A7031D"/>
    <w:rsid w:val="00A723EA"/>
    <w:rsid w:val="00A73353"/>
    <w:rsid w:val="00A81138"/>
    <w:rsid w:val="00A82F76"/>
    <w:rsid w:val="00A83D75"/>
    <w:rsid w:val="00A84443"/>
    <w:rsid w:val="00A84AB9"/>
    <w:rsid w:val="00A86851"/>
    <w:rsid w:val="00A86D15"/>
    <w:rsid w:val="00A86DBF"/>
    <w:rsid w:val="00A90182"/>
    <w:rsid w:val="00A903EA"/>
    <w:rsid w:val="00A91344"/>
    <w:rsid w:val="00A93209"/>
    <w:rsid w:val="00A93473"/>
    <w:rsid w:val="00A96A42"/>
    <w:rsid w:val="00A97B21"/>
    <w:rsid w:val="00AA062D"/>
    <w:rsid w:val="00AA0844"/>
    <w:rsid w:val="00AA30E5"/>
    <w:rsid w:val="00AA32C7"/>
    <w:rsid w:val="00AA3CE7"/>
    <w:rsid w:val="00AA44BE"/>
    <w:rsid w:val="00AA453D"/>
    <w:rsid w:val="00AA71F2"/>
    <w:rsid w:val="00AA797F"/>
    <w:rsid w:val="00AA7E18"/>
    <w:rsid w:val="00AB0771"/>
    <w:rsid w:val="00AB09A1"/>
    <w:rsid w:val="00AB1D9C"/>
    <w:rsid w:val="00AB3D14"/>
    <w:rsid w:val="00AB4940"/>
    <w:rsid w:val="00AB611F"/>
    <w:rsid w:val="00AB65AE"/>
    <w:rsid w:val="00AB6A43"/>
    <w:rsid w:val="00AC20F3"/>
    <w:rsid w:val="00AC23B1"/>
    <w:rsid w:val="00AC32FA"/>
    <w:rsid w:val="00AC54D8"/>
    <w:rsid w:val="00AC7BE3"/>
    <w:rsid w:val="00AD065B"/>
    <w:rsid w:val="00AD2850"/>
    <w:rsid w:val="00AD3616"/>
    <w:rsid w:val="00AD397F"/>
    <w:rsid w:val="00AD5004"/>
    <w:rsid w:val="00AD57B5"/>
    <w:rsid w:val="00AD5CF0"/>
    <w:rsid w:val="00AE0A46"/>
    <w:rsid w:val="00AE0D59"/>
    <w:rsid w:val="00AE2549"/>
    <w:rsid w:val="00AE27C3"/>
    <w:rsid w:val="00AE2D7D"/>
    <w:rsid w:val="00AE4C6E"/>
    <w:rsid w:val="00AE735D"/>
    <w:rsid w:val="00AE7F08"/>
    <w:rsid w:val="00AF17A7"/>
    <w:rsid w:val="00AF2353"/>
    <w:rsid w:val="00AF29BA"/>
    <w:rsid w:val="00AF29CE"/>
    <w:rsid w:val="00AF3911"/>
    <w:rsid w:val="00AF6A68"/>
    <w:rsid w:val="00B0090E"/>
    <w:rsid w:val="00B00B62"/>
    <w:rsid w:val="00B03923"/>
    <w:rsid w:val="00B04D30"/>
    <w:rsid w:val="00B05AA6"/>
    <w:rsid w:val="00B06D85"/>
    <w:rsid w:val="00B07244"/>
    <w:rsid w:val="00B112C7"/>
    <w:rsid w:val="00B1198E"/>
    <w:rsid w:val="00B15F7B"/>
    <w:rsid w:val="00B204A8"/>
    <w:rsid w:val="00B207C7"/>
    <w:rsid w:val="00B20E44"/>
    <w:rsid w:val="00B21114"/>
    <w:rsid w:val="00B21652"/>
    <w:rsid w:val="00B21B5A"/>
    <w:rsid w:val="00B2251C"/>
    <w:rsid w:val="00B23A73"/>
    <w:rsid w:val="00B23FF4"/>
    <w:rsid w:val="00B255F4"/>
    <w:rsid w:val="00B25671"/>
    <w:rsid w:val="00B25AA6"/>
    <w:rsid w:val="00B30763"/>
    <w:rsid w:val="00B30863"/>
    <w:rsid w:val="00B32C0D"/>
    <w:rsid w:val="00B34ED0"/>
    <w:rsid w:val="00B3563B"/>
    <w:rsid w:val="00B361BB"/>
    <w:rsid w:val="00B368D9"/>
    <w:rsid w:val="00B37C57"/>
    <w:rsid w:val="00B37D2D"/>
    <w:rsid w:val="00B4022D"/>
    <w:rsid w:val="00B40CBF"/>
    <w:rsid w:val="00B43092"/>
    <w:rsid w:val="00B44EEC"/>
    <w:rsid w:val="00B45456"/>
    <w:rsid w:val="00B52D17"/>
    <w:rsid w:val="00B5336D"/>
    <w:rsid w:val="00B544D6"/>
    <w:rsid w:val="00B5762B"/>
    <w:rsid w:val="00B61804"/>
    <w:rsid w:val="00B61CC3"/>
    <w:rsid w:val="00B623F2"/>
    <w:rsid w:val="00B6306F"/>
    <w:rsid w:val="00B7051B"/>
    <w:rsid w:val="00B70B29"/>
    <w:rsid w:val="00B71C1F"/>
    <w:rsid w:val="00B74B7A"/>
    <w:rsid w:val="00B74DCA"/>
    <w:rsid w:val="00B755D0"/>
    <w:rsid w:val="00B756F2"/>
    <w:rsid w:val="00B76A3B"/>
    <w:rsid w:val="00B80807"/>
    <w:rsid w:val="00B839FC"/>
    <w:rsid w:val="00B859F1"/>
    <w:rsid w:val="00B85DA7"/>
    <w:rsid w:val="00B862CC"/>
    <w:rsid w:val="00B86630"/>
    <w:rsid w:val="00B90D94"/>
    <w:rsid w:val="00B924D6"/>
    <w:rsid w:val="00B93FC3"/>
    <w:rsid w:val="00B9518F"/>
    <w:rsid w:val="00B95CFC"/>
    <w:rsid w:val="00B96881"/>
    <w:rsid w:val="00B97FF4"/>
    <w:rsid w:val="00BA10C2"/>
    <w:rsid w:val="00BA42D7"/>
    <w:rsid w:val="00BA5181"/>
    <w:rsid w:val="00BA6A0F"/>
    <w:rsid w:val="00BB0623"/>
    <w:rsid w:val="00BB204F"/>
    <w:rsid w:val="00BB2750"/>
    <w:rsid w:val="00BB47DA"/>
    <w:rsid w:val="00BB5CD5"/>
    <w:rsid w:val="00BB7F82"/>
    <w:rsid w:val="00BC005C"/>
    <w:rsid w:val="00BC1462"/>
    <w:rsid w:val="00BC2AB2"/>
    <w:rsid w:val="00BC37F4"/>
    <w:rsid w:val="00BC4115"/>
    <w:rsid w:val="00BC4F68"/>
    <w:rsid w:val="00BC66EB"/>
    <w:rsid w:val="00BC6922"/>
    <w:rsid w:val="00BC751E"/>
    <w:rsid w:val="00BD0295"/>
    <w:rsid w:val="00BD27C8"/>
    <w:rsid w:val="00BD2D7E"/>
    <w:rsid w:val="00BD310C"/>
    <w:rsid w:val="00BD3A23"/>
    <w:rsid w:val="00BD4FD3"/>
    <w:rsid w:val="00BD777B"/>
    <w:rsid w:val="00BD7F7F"/>
    <w:rsid w:val="00BE1FE7"/>
    <w:rsid w:val="00BE21CA"/>
    <w:rsid w:val="00BE32ED"/>
    <w:rsid w:val="00BE3551"/>
    <w:rsid w:val="00BE3691"/>
    <w:rsid w:val="00BE4978"/>
    <w:rsid w:val="00BE4A3A"/>
    <w:rsid w:val="00BE552A"/>
    <w:rsid w:val="00BF24DC"/>
    <w:rsid w:val="00BF2AC2"/>
    <w:rsid w:val="00BF2C5A"/>
    <w:rsid w:val="00BF41DA"/>
    <w:rsid w:val="00BF4345"/>
    <w:rsid w:val="00BF4FB5"/>
    <w:rsid w:val="00BF5A45"/>
    <w:rsid w:val="00BF5C40"/>
    <w:rsid w:val="00BF666F"/>
    <w:rsid w:val="00BF6E03"/>
    <w:rsid w:val="00BF6FF0"/>
    <w:rsid w:val="00C00AA3"/>
    <w:rsid w:val="00C0157E"/>
    <w:rsid w:val="00C01E9C"/>
    <w:rsid w:val="00C024D8"/>
    <w:rsid w:val="00C03C15"/>
    <w:rsid w:val="00C04595"/>
    <w:rsid w:val="00C06268"/>
    <w:rsid w:val="00C06365"/>
    <w:rsid w:val="00C072C8"/>
    <w:rsid w:val="00C079FF"/>
    <w:rsid w:val="00C10685"/>
    <w:rsid w:val="00C10926"/>
    <w:rsid w:val="00C114A2"/>
    <w:rsid w:val="00C120AC"/>
    <w:rsid w:val="00C13A5F"/>
    <w:rsid w:val="00C15231"/>
    <w:rsid w:val="00C242E8"/>
    <w:rsid w:val="00C267AD"/>
    <w:rsid w:val="00C312FC"/>
    <w:rsid w:val="00C329D4"/>
    <w:rsid w:val="00C33905"/>
    <w:rsid w:val="00C342C2"/>
    <w:rsid w:val="00C34FE9"/>
    <w:rsid w:val="00C35D67"/>
    <w:rsid w:val="00C405A7"/>
    <w:rsid w:val="00C41223"/>
    <w:rsid w:val="00C44C70"/>
    <w:rsid w:val="00C451DC"/>
    <w:rsid w:val="00C45B44"/>
    <w:rsid w:val="00C46966"/>
    <w:rsid w:val="00C479DB"/>
    <w:rsid w:val="00C51DC0"/>
    <w:rsid w:val="00C5361F"/>
    <w:rsid w:val="00C55A43"/>
    <w:rsid w:val="00C56C9A"/>
    <w:rsid w:val="00C60E74"/>
    <w:rsid w:val="00C61973"/>
    <w:rsid w:val="00C66C23"/>
    <w:rsid w:val="00C66EA3"/>
    <w:rsid w:val="00C72CDC"/>
    <w:rsid w:val="00C73BD5"/>
    <w:rsid w:val="00C7563D"/>
    <w:rsid w:val="00C7566F"/>
    <w:rsid w:val="00C756FE"/>
    <w:rsid w:val="00C7641F"/>
    <w:rsid w:val="00C77CA7"/>
    <w:rsid w:val="00C77D41"/>
    <w:rsid w:val="00C77D59"/>
    <w:rsid w:val="00C8101F"/>
    <w:rsid w:val="00C81E26"/>
    <w:rsid w:val="00C82637"/>
    <w:rsid w:val="00C82765"/>
    <w:rsid w:val="00C8304B"/>
    <w:rsid w:val="00C83466"/>
    <w:rsid w:val="00C861CA"/>
    <w:rsid w:val="00C928F5"/>
    <w:rsid w:val="00C92F34"/>
    <w:rsid w:val="00C9303A"/>
    <w:rsid w:val="00C937F0"/>
    <w:rsid w:val="00C94905"/>
    <w:rsid w:val="00C94A17"/>
    <w:rsid w:val="00C94AA3"/>
    <w:rsid w:val="00CA13E6"/>
    <w:rsid w:val="00CA1E16"/>
    <w:rsid w:val="00CA2396"/>
    <w:rsid w:val="00CA2560"/>
    <w:rsid w:val="00CA58AA"/>
    <w:rsid w:val="00CB174C"/>
    <w:rsid w:val="00CB2D8D"/>
    <w:rsid w:val="00CB40E0"/>
    <w:rsid w:val="00CB5002"/>
    <w:rsid w:val="00CB5BC9"/>
    <w:rsid w:val="00CB6149"/>
    <w:rsid w:val="00CC13D2"/>
    <w:rsid w:val="00CC2A6E"/>
    <w:rsid w:val="00CC3EEC"/>
    <w:rsid w:val="00CC4287"/>
    <w:rsid w:val="00CC4451"/>
    <w:rsid w:val="00CC4D5E"/>
    <w:rsid w:val="00CC5A8B"/>
    <w:rsid w:val="00CC6B8D"/>
    <w:rsid w:val="00CC7F18"/>
    <w:rsid w:val="00CD012C"/>
    <w:rsid w:val="00CD08D1"/>
    <w:rsid w:val="00CD15F0"/>
    <w:rsid w:val="00CD4109"/>
    <w:rsid w:val="00CD4651"/>
    <w:rsid w:val="00CD5FFC"/>
    <w:rsid w:val="00CD6141"/>
    <w:rsid w:val="00CD75C0"/>
    <w:rsid w:val="00CE252C"/>
    <w:rsid w:val="00CE276D"/>
    <w:rsid w:val="00CE28E9"/>
    <w:rsid w:val="00CE606A"/>
    <w:rsid w:val="00CE6D88"/>
    <w:rsid w:val="00CE7CC4"/>
    <w:rsid w:val="00CF070D"/>
    <w:rsid w:val="00CF0A27"/>
    <w:rsid w:val="00CF2FDE"/>
    <w:rsid w:val="00CF5676"/>
    <w:rsid w:val="00CF6298"/>
    <w:rsid w:val="00CF6DD7"/>
    <w:rsid w:val="00CF7A06"/>
    <w:rsid w:val="00CF7C44"/>
    <w:rsid w:val="00D01BCE"/>
    <w:rsid w:val="00D04EBF"/>
    <w:rsid w:val="00D076A4"/>
    <w:rsid w:val="00D11BB0"/>
    <w:rsid w:val="00D12043"/>
    <w:rsid w:val="00D1282F"/>
    <w:rsid w:val="00D13508"/>
    <w:rsid w:val="00D13AC5"/>
    <w:rsid w:val="00D160B9"/>
    <w:rsid w:val="00D16D15"/>
    <w:rsid w:val="00D16FD0"/>
    <w:rsid w:val="00D204A6"/>
    <w:rsid w:val="00D20847"/>
    <w:rsid w:val="00D21730"/>
    <w:rsid w:val="00D219DF"/>
    <w:rsid w:val="00D21EC3"/>
    <w:rsid w:val="00D235CA"/>
    <w:rsid w:val="00D2395F"/>
    <w:rsid w:val="00D24A96"/>
    <w:rsid w:val="00D2621F"/>
    <w:rsid w:val="00D27602"/>
    <w:rsid w:val="00D31034"/>
    <w:rsid w:val="00D31995"/>
    <w:rsid w:val="00D332CF"/>
    <w:rsid w:val="00D34969"/>
    <w:rsid w:val="00D35DF9"/>
    <w:rsid w:val="00D438F7"/>
    <w:rsid w:val="00D46506"/>
    <w:rsid w:val="00D47B40"/>
    <w:rsid w:val="00D51987"/>
    <w:rsid w:val="00D520A3"/>
    <w:rsid w:val="00D52505"/>
    <w:rsid w:val="00D531CD"/>
    <w:rsid w:val="00D55C41"/>
    <w:rsid w:val="00D56F1F"/>
    <w:rsid w:val="00D64D49"/>
    <w:rsid w:val="00D664D8"/>
    <w:rsid w:val="00D700EA"/>
    <w:rsid w:val="00D748CF"/>
    <w:rsid w:val="00D74CE7"/>
    <w:rsid w:val="00D74DA2"/>
    <w:rsid w:val="00D7640E"/>
    <w:rsid w:val="00D766FD"/>
    <w:rsid w:val="00D76F14"/>
    <w:rsid w:val="00D77360"/>
    <w:rsid w:val="00D80573"/>
    <w:rsid w:val="00D81BE8"/>
    <w:rsid w:val="00D83F65"/>
    <w:rsid w:val="00D86069"/>
    <w:rsid w:val="00D871F7"/>
    <w:rsid w:val="00D879AD"/>
    <w:rsid w:val="00D87D8C"/>
    <w:rsid w:val="00D907C7"/>
    <w:rsid w:val="00D90928"/>
    <w:rsid w:val="00D91382"/>
    <w:rsid w:val="00D94926"/>
    <w:rsid w:val="00D94A1E"/>
    <w:rsid w:val="00D95044"/>
    <w:rsid w:val="00D950C6"/>
    <w:rsid w:val="00D954A3"/>
    <w:rsid w:val="00D95676"/>
    <w:rsid w:val="00D958F4"/>
    <w:rsid w:val="00D95DCA"/>
    <w:rsid w:val="00D95EFC"/>
    <w:rsid w:val="00DA1768"/>
    <w:rsid w:val="00DA19C3"/>
    <w:rsid w:val="00DA31C9"/>
    <w:rsid w:val="00DA3242"/>
    <w:rsid w:val="00DA4514"/>
    <w:rsid w:val="00DA4D85"/>
    <w:rsid w:val="00DA5F3F"/>
    <w:rsid w:val="00DA614E"/>
    <w:rsid w:val="00DA626A"/>
    <w:rsid w:val="00DA77D3"/>
    <w:rsid w:val="00DB17CD"/>
    <w:rsid w:val="00DB2644"/>
    <w:rsid w:val="00DB3BE4"/>
    <w:rsid w:val="00DB4AE5"/>
    <w:rsid w:val="00DB7853"/>
    <w:rsid w:val="00DC0C3C"/>
    <w:rsid w:val="00DC18DD"/>
    <w:rsid w:val="00DC31ED"/>
    <w:rsid w:val="00DC3796"/>
    <w:rsid w:val="00DC43E2"/>
    <w:rsid w:val="00DC63EF"/>
    <w:rsid w:val="00DC6EC1"/>
    <w:rsid w:val="00DC7E74"/>
    <w:rsid w:val="00DD0660"/>
    <w:rsid w:val="00DD06E3"/>
    <w:rsid w:val="00DD25A5"/>
    <w:rsid w:val="00DD363B"/>
    <w:rsid w:val="00DD568D"/>
    <w:rsid w:val="00DD7ACF"/>
    <w:rsid w:val="00DE0439"/>
    <w:rsid w:val="00DE3267"/>
    <w:rsid w:val="00DE3DEA"/>
    <w:rsid w:val="00DE4F7C"/>
    <w:rsid w:val="00DE7E91"/>
    <w:rsid w:val="00DF2AB8"/>
    <w:rsid w:val="00DF3717"/>
    <w:rsid w:val="00DF4249"/>
    <w:rsid w:val="00DF4407"/>
    <w:rsid w:val="00DF4957"/>
    <w:rsid w:val="00DF75D4"/>
    <w:rsid w:val="00E00312"/>
    <w:rsid w:val="00E029DC"/>
    <w:rsid w:val="00E039FE"/>
    <w:rsid w:val="00E062AD"/>
    <w:rsid w:val="00E1062A"/>
    <w:rsid w:val="00E11751"/>
    <w:rsid w:val="00E12670"/>
    <w:rsid w:val="00E12CDB"/>
    <w:rsid w:val="00E13C85"/>
    <w:rsid w:val="00E140DB"/>
    <w:rsid w:val="00E14D7E"/>
    <w:rsid w:val="00E15472"/>
    <w:rsid w:val="00E1548C"/>
    <w:rsid w:val="00E16F85"/>
    <w:rsid w:val="00E200E1"/>
    <w:rsid w:val="00E21218"/>
    <w:rsid w:val="00E2124E"/>
    <w:rsid w:val="00E2360F"/>
    <w:rsid w:val="00E23C51"/>
    <w:rsid w:val="00E24640"/>
    <w:rsid w:val="00E24732"/>
    <w:rsid w:val="00E2473B"/>
    <w:rsid w:val="00E25A21"/>
    <w:rsid w:val="00E26B2F"/>
    <w:rsid w:val="00E2713D"/>
    <w:rsid w:val="00E302B0"/>
    <w:rsid w:val="00E309FF"/>
    <w:rsid w:val="00E31932"/>
    <w:rsid w:val="00E31C1B"/>
    <w:rsid w:val="00E3280F"/>
    <w:rsid w:val="00E33ADC"/>
    <w:rsid w:val="00E340EF"/>
    <w:rsid w:val="00E34149"/>
    <w:rsid w:val="00E36227"/>
    <w:rsid w:val="00E362A7"/>
    <w:rsid w:val="00E36939"/>
    <w:rsid w:val="00E401CD"/>
    <w:rsid w:val="00E44E2E"/>
    <w:rsid w:val="00E4548E"/>
    <w:rsid w:val="00E465E1"/>
    <w:rsid w:val="00E5123F"/>
    <w:rsid w:val="00E51C8F"/>
    <w:rsid w:val="00E60BC8"/>
    <w:rsid w:val="00E62784"/>
    <w:rsid w:val="00E62E70"/>
    <w:rsid w:val="00E63B82"/>
    <w:rsid w:val="00E64E60"/>
    <w:rsid w:val="00E678B6"/>
    <w:rsid w:val="00E75929"/>
    <w:rsid w:val="00E75EA1"/>
    <w:rsid w:val="00E760AF"/>
    <w:rsid w:val="00E77B2E"/>
    <w:rsid w:val="00E77DD3"/>
    <w:rsid w:val="00E8033D"/>
    <w:rsid w:val="00E80CAD"/>
    <w:rsid w:val="00E83907"/>
    <w:rsid w:val="00E86C77"/>
    <w:rsid w:val="00E870E0"/>
    <w:rsid w:val="00E8764F"/>
    <w:rsid w:val="00E90D07"/>
    <w:rsid w:val="00E9435F"/>
    <w:rsid w:val="00E954BF"/>
    <w:rsid w:val="00E957BA"/>
    <w:rsid w:val="00E96121"/>
    <w:rsid w:val="00E96960"/>
    <w:rsid w:val="00EA0B55"/>
    <w:rsid w:val="00EA0C8B"/>
    <w:rsid w:val="00EA12B6"/>
    <w:rsid w:val="00EA251D"/>
    <w:rsid w:val="00EA29A3"/>
    <w:rsid w:val="00EA2B62"/>
    <w:rsid w:val="00EA2B8A"/>
    <w:rsid w:val="00EA566E"/>
    <w:rsid w:val="00EA5911"/>
    <w:rsid w:val="00EA62EC"/>
    <w:rsid w:val="00EA74D6"/>
    <w:rsid w:val="00EA76F9"/>
    <w:rsid w:val="00EB106E"/>
    <w:rsid w:val="00EB1B58"/>
    <w:rsid w:val="00EB27B7"/>
    <w:rsid w:val="00EB2A4D"/>
    <w:rsid w:val="00EB2BFD"/>
    <w:rsid w:val="00EB3012"/>
    <w:rsid w:val="00EB46DD"/>
    <w:rsid w:val="00EB4A2A"/>
    <w:rsid w:val="00EB5A16"/>
    <w:rsid w:val="00EB5DC2"/>
    <w:rsid w:val="00EC0F17"/>
    <w:rsid w:val="00EC38EC"/>
    <w:rsid w:val="00EC3A70"/>
    <w:rsid w:val="00EC41BB"/>
    <w:rsid w:val="00EC6B90"/>
    <w:rsid w:val="00EC6E75"/>
    <w:rsid w:val="00EC7AE3"/>
    <w:rsid w:val="00ED1B91"/>
    <w:rsid w:val="00ED1F81"/>
    <w:rsid w:val="00ED20F2"/>
    <w:rsid w:val="00ED2A25"/>
    <w:rsid w:val="00ED3B44"/>
    <w:rsid w:val="00ED4113"/>
    <w:rsid w:val="00ED4121"/>
    <w:rsid w:val="00ED6AE1"/>
    <w:rsid w:val="00ED7203"/>
    <w:rsid w:val="00ED77EF"/>
    <w:rsid w:val="00ED7805"/>
    <w:rsid w:val="00EE0F73"/>
    <w:rsid w:val="00EE1299"/>
    <w:rsid w:val="00EE1700"/>
    <w:rsid w:val="00EE227F"/>
    <w:rsid w:val="00EE23F5"/>
    <w:rsid w:val="00EE2F7F"/>
    <w:rsid w:val="00EE6AF8"/>
    <w:rsid w:val="00EF06DF"/>
    <w:rsid w:val="00EF1086"/>
    <w:rsid w:val="00EF303D"/>
    <w:rsid w:val="00EF3E4E"/>
    <w:rsid w:val="00EF475E"/>
    <w:rsid w:val="00EF58AF"/>
    <w:rsid w:val="00F00B89"/>
    <w:rsid w:val="00F06A78"/>
    <w:rsid w:val="00F11288"/>
    <w:rsid w:val="00F11433"/>
    <w:rsid w:val="00F1286B"/>
    <w:rsid w:val="00F12A6C"/>
    <w:rsid w:val="00F13963"/>
    <w:rsid w:val="00F13999"/>
    <w:rsid w:val="00F13BAB"/>
    <w:rsid w:val="00F1403C"/>
    <w:rsid w:val="00F15A80"/>
    <w:rsid w:val="00F22C9F"/>
    <w:rsid w:val="00F24B12"/>
    <w:rsid w:val="00F25338"/>
    <w:rsid w:val="00F26C9A"/>
    <w:rsid w:val="00F27F44"/>
    <w:rsid w:val="00F30148"/>
    <w:rsid w:val="00F303F7"/>
    <w:rsid w:val="00F32EB2"/>
    <w:rsid w:val="00F33824"/>
    <w:rsid w:val="00F34C94"/>
    <w:rsid w:val="00F35823"/>
    <w:rsid w:val="00F36BE7"/>
    <w:rsid w:val="00F37F7B"/>
    <w:rsid w:val="00F415E7"/>
    <w:rsid w:val="00F440CF"/>
    <w:rsid w:val="00F44562"/>
    <w:rsid w:val="00F449A4"/>
    <w:rsid w:val="00F4628E"/>
    <w:rsid w:val="00F47E8C"/>
    <w:rsid w:val="00F50E48"/>
    <w:rsid w:val="00F524FE"/>
    <w:rsid w:val="00F5262B"/>
    <w:rsid w:val="00F528D3"/>
    <w:rsid w:val="00F528EB"/>
    <w:rsid w:val="00F52F1C"/>
    <w:rsid w:val="00F55501"/>
    <w:rsid w:val="00F56BFA"/>
    <w:rsid w:val="00F57D27"/>
    <w:rsid w:val="00F604C2"/>
    <w:rsid w:val="00F60907"/>
    <w:rsid w:val="00F60930"/>
    <w:rsid w:val="00F63BAD"/>
    <w:rsid w:val="00F647BA"/>
    <w:rsid w:val="00F64C0B"/>
    <w:rsid w:val="00F65136"/>
    <w:rsid w:val="00F66D91"/>
    <w:rsid w:val="00F677EF"/>
    <w:rsid w:val="00F67A52"/>
    <w:rsid w:val="00F67FD3"/>
    <w:rsid w:val="00F708B2"/>
    <w:rsid w:val="00F74CBB"/>
    <w:rsid w:val="00F757DA"/>
    <w:rsid w:val="00F75C2F"/>
    <w:rsid w:val="00F779C2"/>
    <w:rsid w:val="00F80563"/>
    <w:rsid w:val="00F84435"/>
    <w:rsid w:val="00F848C5"/>
    <w:rsid w:val="00F84B55"/>
    <w:rsid w:val="00F85DBF"/>
    <w:rsid w:val="00F85F32"/>
    <w:rsid w:val="00F87F1A"/>
    <w:rsid w:val="00F90DB7"/>
    <w:rsid w:val="00F90E9F"/>
    <w:rsid w:val="00F913BD"/>
    <w:rsid w:val="00F918D5"/>
    <w:rsid w:val="00F927ED"/>
    <w:rsid w:val="00F927EF"/>
    <w:rsid w:val="00F94F04"/>
    <w:rsid w:val="00F9534F"/>
    <w:rsid w:val="00F95FF6"/>
    <w:rsid w:val="00FA0E11"/>
    <w:rsid w:val="00FA209C"/>
    <w:rsid w:val="00FA20C5"/>
    <w:rsid w:val="00FA5474"/>
    <w:rsid w:val="00FA54FD"/>
    <w:rsid w:val="00FA6245"/>
    <w:rsid w:val="00FA6503"/>
    <w:rsid w:val="00FA7884"/>
    <w:rsid w:val="00FB1BDD"/>
    <w:rsid w:val="00FB2064"/>
    <w:rsid w:val="00FB27EB"/>
    <w:rsid w:val="00FB336E"/>
    <w:rsid w:val="00FB3F50"/>
    <w:rsid w:val="00FB6816"/>
    <w:rsid w:val="00FB7B1C"/>
    <w:rsid w:val="00FB7F4F"/>
    <w:rsid w:val="00FC0DF4"/>
    <w:rsid w:val="00FC1F16"/>
    <w:rsid w:val="00FC4449"/>
    <w:rsid w:val="00FC6337"/>
    <w:rsid w:val="00FC6B8C"/>
    <w:rsid w:val="00FD0442"/>
    <w:rsid w:val="00FD08AE"/>
    <w:rsid w:val="00FD2D65"/>
    <w:rsid w:val="00FD520D"/>
    <w:rsid w:val="00FD5FFF"/>
    <w:rsid w:val="00FD74C1"/>
    <w:rsid w:val="00FE13D9"/>
    <w:rsid w:val="00FE1AF1"/>
    <w:rsid w:val="00FE2BF6"/>
    <w:rsid w:val="00FE67A8"/>
    <w:rsid w:val="00FE7164"/>
    <w:rsid w:val="00FE792D"/>
    <w:rsid w:val="00FF32C1"/>
    <w:rsid w:val="00FF49D2"/>
    <w:rsid w:val="00FF6B7D"/>
    <w:rsid w:val="00FF6E9D"/>
    <w:rsid w:val="00FF7EE1"/>
    <w:rsid w:val="0CD870B5"/>
    <w:rsid w:val="1258198C"/>
    <w:rsid w:val="12B72C5D"/>
    <w:rsid w:val="27B672E7"/>
    <w:rsid w:val="3A466260"/>
    <w:rsid w:val="46121BDB"/>
    <w:rsid w:val="4A187034"/>
    <w:rsid w:val="5F5A3CF8"/>
    <w:rsid w:val="696A4D5A"/>
    <w:rsid w:val="6E8965DA"/>
    <w:rsid w:val="766F7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E444B2C0-F268-460A-9D45-4039EA709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semiHidden="1" w:unhideWhenUsed="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iPriority="0" w:unhideWhenUsed="1" w:qFormat="1"/>
    <w:lsdException w:name="Strong" w:uiPriority="22" w:qFormat="1"/>
    <w:lsdException w:name="Emphasis" w:uiPriority="20" w:qFormat="1"/>
    <w:lsdException w:name="Document Map"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0"/>
    <w:qFormat/>
    <w:pPr>
      <w:keepNext/>
      <w:keepLines/>
      <w:spacing w:line="480" w:lineRule="auto"/>
      <w:outlineLvl w:val="1"/>
    </w:pPr>
    <w:rPr>
      <w:rFonts w:ascii="Arial" w:eastAsia="仿宋" w:hAnsi="Arial"/>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qFormat/>
    <w:pPr>
      <w:ind w:firstLineChars="200" w:firstLine="420"/>
    </w:pPr>
  </w:style>
  <w:style w:type="paragraph" w:styleId="7">
    <w:name w:val="toc 7"/>
    <w:basedOn w:val="a"/>
    <w:next w:val="a"/>
    <w:qFormat/>
    <w:pPr>
      <w:ind w:leftChars="1200" w:left="2520"/>
    </w:pPr>
  </w:style>
  <w:style w:type="paragraph" w:styleId="a4">
    <w:name w:val="Document Map"/>
    <w:basedOn w:val="a"/>
    <w:qFormat/>
    <w:pPr>
      <w:shd w:val="clear" w:color="auto" w:fill="000080"/>
    </w:pPr>
  </w:style>
  <w:style w:type="paragraph" w:styleId="a5">
    <w:name w:val="annotation text"/>
    <w:basedOn w:val="a"/>
    <w:link w:val="Char"/>
    <w:qFormat/>
    <w:pPr>
      <w:jc w:val="left"/>
    </w:pPr>
  </w:style>
  <w:style w:type="paragraph" w:styleId="a6">
    <w:name w:val="Body Text"/>
    <w:basedOn w:val="a"/>
    <w:qFormat/>
    <w:pPr>
      <w:spacing w:line="360" w:lineRule="auto"/>
    </w:pPr>
    <w:rPr>
      <w:rFonts w:ascii="仿宋_GB2312" w:eastAsia="仿宋_GB2312"/>
      <w:color w:val="000000"/>
      <w:kern w:val="0"/>
      <w:sz w:val="24"/>
      <w:szCs w:val="28"/>
    </w:rPr>
  </w:style>
  <w:style w:type="paragraph" w:styleId="a7">
    <w:name w:val="Body Text Indent"/>
    <w:basedOn w:val="a"/>
    <w:qFormat/>
    <w:pPr>
      <w:adjustRightInd w:val="0"/>
      <w:snapToGrid w:val="0"/>
      <w:spacing w:line="560" w:lineRule="exact"/>
      <w:ind w:firstLineChars="200" w:firstLine="480"/>
    </w:pPr>
    <w:rPr>
      <w:rFonts w:eastAsia="方正仿宋简体"/>
      <w:sz w:val="24"/>
      <w:szCs w:val="30"/>
    </w:rPr>
  </w:style>
  <w:style w:type="paragraph" w:styleId="5">
    <w:name w:val="toc 5"/>
    <w:basedOn w:val="a"/>
    <w:next w:val="a"/>
    <w:qFormat/>
    <w:pPr>
      <w:ind w:leftChars="800" w:left="1680"/>
    </w:pPr>
  </w:style>
  <w:style w:type="paragraph" w:styleId="3">
    <w:name w:val="toc 3"/>
    <w:basedOn w:val="a"/>
    <w:next w:val="a"/>
    <w:qFormat/>
    <w:pPr>
      <w:ind w:leftChars="400" w:left="840"/>
    </w:pPr>
  </w:style>
  <w:style w:type="paragraph" w:styleId="8">
    <w:name w:val="toc 8"/>
    <w:basedOn w:val="a"/>
    <w:next w:val="a"/>
    <w:qFormat/>
    <w:pPr>
      <w:ind w:leftChars="1400" w:left="2940"/>
    </w:pPr>
  </w:style>
  <w:style w:type="paragraph" w:styleId="20">
    <w:name w:val="Body Text Indent 2"/>
    <w:basedOn w:val="a"/>
    <w:qFormat/>
    <w:pPr>
      <w:spacing w:line="360" w:lineRule="auto"/>
      <w:ind w:firstLine="525"/>
    </w:pPr>
    <w:rPr>
      <w:rFonts w:ascii="宋体" w:hAnsi="宋体"/>
      <w:sz w:val="28"/>
      <w:szCs w:val="20"/>
    </w:rPr>
  </w:style>
  <w:style w:type="paragraph" w:styleId="a8">
    <w:name w:val="Balloon Text"/>
    <w:basedOn w:val="a"/>
    <w:qFormat/>
    <w:rPr>
      <w:sz w:val="18"/>
      <w:szCs w:val="18"/>
    </w:rPr>
  </w:style>
  <w:style w:type="paragraph" w:styleId="a9">
    <w:name w:val="footer"/>
    <w:basedOn w:val="a"/>
    <w:link w:val="Char0"/>
    <w:uiPriority w:val="99"/>
    <w:qFormat/>
    <w:pPr>
      <w:tabs>
        <w:tab w:val="center" w:pos="4153"/>
        <w:tab w:val="right" w:pos="8306"/>
      </w:tabs>
      <w:snapToGrid w:val="0"/>
      <w:jc w:val="left"/>
    </w:pPr>
    <w:rPr>
      <w:sz w:val="18"/>
      <w:szCs w:val="18"/>
    </w:rPr>
  </w:style>
  <w:style w:type="paragraph" w:styleId="aa">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4">
    <w:name w:val="toc 4"/>
    <w:basedOn w:val="a"/>
    <w:next w:val="a"/>
    <w:qFormat/>
    <w:pPr>
      <w:ind w:leftChars="600" w:left="1260"/>
    </w:pPr>
  </w:style>
  <w:style w:type="paragraph" w:styleId="6">
    <w:name w:val="toc 6"/>
    <w:basedOn w:val="a"/>
    <w:next w:val="a"/>
    <w:qFormat/>
    <w:pPr>
      <w:ind w:leftChars="1000" w:left="2100"/>
    </w:pPr>
  </w:style>
  <w:style w:type="paragraph" w:styleId="30">
    <w:name w:val="Body Text Indent 3"/>
    <w:basedOn w:val="a"/>
    <w:qFormat/>
    <w:pPr>
      <w:adjustRightInd w:val="0"/>
      <w:snapToGrid w:val="0"/>
      <w:ind w:firstLineChars="200" w:firstLine="480"/>
    </w:pPr>
    <w:rPr>
      <w:rFonts w:ascii="仿宋_GB2312" w:eastAsia="仿宋_GB2312" w:hAnsi="宋体" w:cs="Arial"/>
      <w:color w:val="000000"/>
      <w:sz w:val="24"/>
    </w:rPr>
  </w:style>
  <w:style w:type="paragraph" w:styleId="21">
    <w:name w:val="toc 2"/>
    <w:basedOn w:val="a"/>
    <w:next w:val="a"/>
    <w:uiPriority w:val="39"/>
    <w:qFormat/>
    <w:pPr>
      <w:ind w:leftChars="200" w:left="420"/>
    </w:pPr>
  </w:style>
  <w:style w:type="paragraph" w:styleId="9">
    <w:name w:val="toc 9"/>
    <w:basedOn w:val="a"/>
    <w:next w:val="a"/>
    <w:qFormat/>
    <w:pPr>
      <w:ind w:leftChars="1600" w:left="3360"/>
    </w:pPr>
  </w:style>
  <w:style w:type="paragraph" w:styleId="ab">
    <w:name w:val="Normal (Web)"/>
    <w:basedOn w:val="a"/>
    <w:uiPriority w:val="99"/>
    <w:qFormat/>
    <w:pPr>
      <w:widowControl/>
      <w:spacing w:before="100" w:beforeAutospacing="1" w:after="100" w:afterAutospacing="1"/>
      <w:jc w:val="left"/>
    </w:pPr>
    <w:rPr>
      <w:rFonts w:ascii="Arial Unicode MS" w:eastAsia="Arial Unicode MS" w:hAnsi="Arial Unicode MS" w:cs="Arial Unicode MS"/>
      <w:kern w:val="0"/>
      <w:sz w:val="24"/>
    </w:rPr>
  </w:style>
  <w:style w:type="paragraph" w:styleId="ac">
    <w:name w:val="Title"/>
    <w:basedOn w:val="a"/>
    <w:link w:val="Char2"/>
    <w:qFormat/>
    <w:pPr>
      <w:spacing w:before="240" w:after="60"/>
      <w:ind w:left="420" w:hanging="420"/>
      <w:jc w:val="center"/>
      <w:outlineLvl w:val="0"/>
    </w:pPr>
    <w:rPr>
      <w:rFonts w:ascii="Arial" w:eastAsia="仿宋" w:hAnsi="Arial"/>
      <w:b/>
      <w:bCs/>
      <w:sz w:val="32"/>
      <w:szCs w:val="32"/>
    </w:rPr>
  </w:style>
  <w:style w:type="paragraph" w:styleId="ad">
    <w:name w:val="annotation subject"/>
    <w:basedOn w:val="a5"/>
    <w:next w:val="a5"/>
    <w:qFormat/>
    <w:rPr>
      <w:b/>
      <w:bCs/>
    </w:rPr>
  </w:style>
  <w:style w:type="character" w:styleId="ae">
    <w:name w:val="Strong"/>
    <w:uiPriority w:val="22"/>
    <w:qFormat/>
    <w:rPr>
      <w:rFonts w:ascii="Times New Roman" w:eastAsia="宋体" w:hAnsi="Times New Roman" w:cs="Times New Roman"/>
      <w:b/>
      <w:bCs/>
    </w:rPr>
  </w:style>
  <w:style w:type="character" w:styleId="af">
    <w:name w:val="page number"/>
    <w:qFormat/>
    <w:rPr>
      <w:rFonts w:ascii="Times New Roman" w:eastAsia="宋体" w:hAnsi="Times New Roman" w:cs="Times New Roman"/>
    </w:rPr>
  </w:style>
  <w:style w:type="character" w:styleId="af0">
    <w:name w:val="FollowedHyperlink"/>
    <w:semiHidden/>
    <w:unhideWhenUsed/>
    <w:qFormat/>
    <w:rPr>
      <w:color w:val="954F72"/>
      <w:u w:val="single"/>
    </w:rPr>
  </w:style>
  <w:style w:type="character" w:styleId="af1">
    <w:name w:val="Hyperlink"/>
    <w:uiPriority w:val="99"/>
    <w:qFormat/>
    <w:rPr>
      <w:rFonts w:ascii="Times New Roman" w:eastAsia="宋体" w:hAnsi="Times New Roman" w:cs="Times New Roman"/>
      <w:color w:val="0000FF"/>
      <w:u w:val="single"/>
    </w:rPr>
  </w:style>
  <w:style w:type="character" w:styleId="af2">
    <w:name w:val="annotation reference"/>
    <w:uiPriority w:val="99"/>
    <w:qFormat/>
    <w:rPr>
      <w:rFonts w:ascii="Times New Roman" w:eastAsia="宋体" w:hAnsi="Times New Roman" w:cs="Times New Roman"/>
      <w:sz w:val="21"/>
      <w:szCs w:val="21"/>
    </w:rPr>
  </w:style>
  <w:style w:type="character" w:customStyle="1" w:styleId="Char0">
    <w:name w:val="页脚 Char"/>
    <w:link w:val="a9"/>
    <w:uiPriority w:val="99"/>
    <w:qFormat/>
    <w:rPr>
      <w:kern w:val="2"/>
      <w:sz w:val="18"/>
      <w:szCs w:val="18"/>
    </w:rPr>
  </w:style>
  <w:style w:type="character" w:customStyle="1" w:styleId="Char1">
    <w:name w:val="页眉 Char"/>
    <w:link w:val="aa"/>
    <w:qFormat/>
    <w:rPr>
      <w:kern w:val="2"/>
      <w:sz w:val="18"/>
      <w:szCs w:val="18"/>
    </w:rPr>
  </w:style>
  <w:style w:type="character" w:customStyle="1" w:styleId="read">
    <w:name w:val="read"/>
    <w:qFormat/>
    <w:rPr>
      <w:rFonts w:ascii="Times New Roman" w:eastAsia="宋体" w:hAnsi="Times New Roman" w:cs="Times New Roman"/>
    </w:rPr>
  </w:style>
  <w:style w:type="character" w:customStyle="1" w:styleId="1Char">
    <w:name w:val="标题 1 Char"/>
    <w:link w:val="1"/>
    <w:qFormat/>
    <w:rPr>
      <w:rFonts w:ascii="Times New Roman" w:eastAsia="宋体" w:hAnsi="Times New Roman" w:cs="Times New Roman"/>
      <w:b/>
      <w:bCs/>
      <w:kern w:val="44"/>
      <w:sz w:val="44"/>
      <w:szCs w:val="44"/>
    </w:rPr>
  </w:style>
  <w:style w:type="paragraph" w:customStyle="1" w:styleId="wz1">
    <w:name w:val="wz1"/>
    <w:basedOn w:val="a"/>
    <w:qFormat/>
    <w:pPr>
      <w:widowControl/>
      <w:spacing w:before="100" w:beforeAutospacing="1" w:after="100" w:afterAutospacing="1" w:line="245" w:lineRule="atLeast"/>
      <w:jc w:val="left"/>
    </w:pPr>
    <w:rPr>
      <w:rFonts w:ascii="Arial Unicode MS" w:eastAsia="Arial Unicode MS" w:hAnsi="Arial Unicode MS" w:cs="Arial Unicode MS"/>
      <w:color w:val="CC0000"/>
      <w:kern w:val="0"/>
      <w:sz w:val="22"/>
      <w:szCs w:val="22"/>
    </w:rPr>
  </w:style>
  <w:style w:type="character" w:customStyle="1" w:styleId="11">
    <w:name w:val="已访问的超链接1"/>
    <w:qFormat/>
    <w:rPr>
      <w:color w:val="800080"/>
      <w:u w:val="single"/>
    </w:rPr>
  </w:style>
  <w:style w:type="paragraph" w:customStyle="1" w:styleId="Char3">
    <w:name w:val="Char"/>
    <w:basedOn w:val="a"/>
    <w:qFormat/>
  </w:style>
  <w:style w:type="paragraph" w:customStyle="1" w:styleId="Char10">
    <w:name w:val="Char1"/>
    <w:basedOn w:val="a"/>
    <w:qFormat/>
    <w:pPr>
      <w:tabs>
        <w:tab w:val="left" w:pos="832"/>
      </w:tabs>
      <w:ind w:left="832" w:hanging="420"/>
      <w:jc w:val="center"/>
    </w:pPr>
    <w:rPr>
      <w:rFonts w:ascii="楷体_GB2312" w:eastAsia="楷体_GB2312"/>
      <w:b/>
      <w:color w:val="000080"/>
      <w:sz w:val="30"/>
      <w:szCs w:val="30"/>
    </w:rPr>
  </w:style>
  <w:style w:type="paragraph" w:customStyle="1" w:styleId="Char20">
    <w:name w:val="Char2"/>
    <w:basedOn w:val="a"/>
    <w:qFormat/>
  </w:style>
  <w:style w:type="character" w:customStyle="1" w:styleId="Char">
    <w:name w:val="批注文字 Char"/>
    <w:link w:val="a5"/>
    <w:qFormat/>
    <w:rPr>
      <w:kern w:val="2"/>
      <w:sz w:val="21"/>
      <w:szCs w:val="24"/>
    </w:rPr>
  </w:style>
  <w:style w:type="paragraph" w:customStyle="1" w:styleId="CharCharCharCharCharCharChar">
    <w:name w:val="Char Char Char Char Char Char Char"/>
    <w:basedOn w:val="a"/>
    <w:qFormat/>
  </w:style>
  <w:style w:type="paragraph" w:customStyle="1" w:styleId="Default">
    <w:name w:val="Default"/>
    <w:qFormat/>
    <w:pPr>
      <w:widowControl w:val="0"/>
      <w:autoSpaceDE w:val="0"/>
      <w:autoSpaceDN w:val="0"/>
      <w:adjustRightInd w:val="0"/>
    </w:pPr>
    <w:rPr>
      <w:rFonts w:ascii="宋体"/>
      <w:color w:val="000000"/>
      <w:sz w:val="24"/>
      <w:szCs w:val="24"/>
    </w:rPr>
  </w:style>
  <w:style w:type="paragraph" w:customStyle="1" w:styleId="12">
    <w:name w:val="修订1"/>
    <w:uiPriority w:val="99"/>
    <w:qFormat/>
    <w:rPr>
      <w:kern w:val="2"/>
      <w:sz w:val="21"/>
      <w:szCs w:val="24"/>
    </w:rPr>
  </w:style>
  <w:style w:type="character" w:customStyle="1" w:styleId="Char2">
    <w:name w:val="标题 Char"/>
    <w:link w:val="ac"/>
    <w:qFormat/>
    <w:rPr>
      <w:rFonts w:ascii="Arial" w:eastAsia="仿宋" w:hAnsi="Arial"/>
      <w:b/>
      <w:bCs/>
      <w:kern w:val="2"/>
      <w:sz w:val="32"/>
      <w:szCs w:val="32"/>
    </w:rPr>
  </w:style>
  <w:style w:type="paragraph" w:customStyle="1" w:styleId="Char30">
    <w:name w:val="Char3"/>
    <w:basedOn w:val="a"/>
    <w:qFormat/>
  </w:style>
  <w:style w:type="paragraph" w:customStyle="1" w:styleId="Char11">
    <w:name w:val="Char11"/>
    <w:basedOn w:val="a"/>
    <w:qFormat/>
    <w:pPr>
      <w:tabs>
        <w:tab w:val="left" w:pos="832"/>
      </w:tabs>
      <w:ind w:left="832" w:hanging="420"/>
      <w:jc w:val="center"/>
    </w:pPr>
    <w:rPr>
      <w:rFonts w:ascii="楷体_GB2312" w:eastAsia="楷体_GB2312"/>
      <w:b/>
      <w:color w:val="000080"/>
      <w:sz w:val="30"/>
      <w:szCs w:val="30"/>
    </w:rPr>
  </w:style>
  <w:style w:type="paragraph" w:customStyle="1" w:styleId="CharCharCharCharCharCharChar1">
    <w:name w:val="Char Char Char Char Char Char Char1"/>
    <w:basedOn w:val="a"/>
    <w:qFormat/>
  </w:style>
  <w:style w:type="paragraph" w:customStyle="1" w:styleId="40">
    <w:name w:val="4"/>
    <w:qFormat/>
    <w:pPr>
      <w:widowControl w:val="0"/>
      <w:jc w:val="both"/>
    </w:pPr>
    <w:rPr>
      <w:kern w:val="2"/>
      <w:sz w:val="21"/>
      <w:szCs w:val="24"/>
    </w:rPr>
  </w:style>
  <w:style w:type="paragraph" w:customStyle="1" w:styleId="31">
    <w:name w:val="3"/>
    <w:qFormat/>
    <w:pPr>
      <w:widowControl w:val="0"/>
      <w:jc w:val="both"/>
    </w:pPr>
    <w:rPr>
      <w:kern w:val="2"/>
      <w:sz w:val="21"/>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22">
    <w:name w:val="2"/>
    <w:qFormat/>
    <w:pPr>
      <w:widowControl w:val="0"/>
      <w:jc w:val="both"/>
    </w:pPr>
    <w:rPr>
      <w:kern w:val="2"/>
      <w:sz w:val="21"/>
      <w:szCs w:val="24"/>
    </w:rPr>
  </w:style>
  <w:style w:type="character" w:customStyle="1" w:styleId="23">
    <w:name w:val="已访问的超链接2"/>
    <w:qFormat/>
    <w:rPr>
      <w:color w:val="800080"/>
      <w:u w:val="single"/>
    </w:rPr>
  </w:style>
  <w:style w:type="character" w:customStyle="1" w:styleId="af3">
    <w:name w:val="批注文字 字符"/>
    <w:qFormat/>
    <w:rPr>
      <w:rFonts w:eastAsia="宋体"/>
      <w:kern w:val="2"/>
      <w:sz w:val="21"/>
      <w:szCs w:val="24"/>
      <w:lang w:val="en-US" w:eastAsia="zh-CN" w:bidi="ar-SA"/>
    </w:rPr>
  </w:style>
  <w:style w:type="character" w:customStyle="1" w:styleId="af4">
    <w:name w:val="标题 字符"/>
    <w:qFormat/>
    <w:rPr>
      <w:rFonts w:ascii="Arial" w:hAnsi="Arial" w:cs="Arial"/>
      <w:b/>
      <w:bCs/>
      <w:kern w:val="2"/>
      <w:sz w:val="32"/>
      <w:szCs w:val="32"/>
    </w:rPr>
  </w:style>
  <w:style w:type="character" w:customStyle="1" w:styleId="af5">
    <w:name w:val="页脚 字符"/>
    <w:uiPriority w:val="99"/>
    <w:qFormat/>
    <w:rPr>
      <w:kern w:val="2"/>
      <w:sz w:val="18"/>
      <w:szCs w:val="18"/>
    </w:rPr>
  </w:style>
  <w:style w:type="character" w:customStyle="1" w:styleId="af6">
    <w:name w:val="页眉 字符"/>
    <w:uiPriority w:val="99"/>
    <w:qFormat/>
    <w:rPr>
      <w:kern w:val="2"/>
      <w:sz w:val="18"/>
      <w:szCs w:val="18"/>
    </w:rPr>
  </w:style>
  <w:style w:type="character" w:customStyle="1" w:styleId="13">
    <w:name w:val="标题 1 字符"/>
    <w:qFormat/>
    <w:rPr>
      <w:b/>
      <w:bCs/>
      <w:kern w:val="44"/>
      <w:sz w:val="44"/>
      <w:szCs w:val="44"/>
    </w:rPr>
  </w:style>
  <w:style w:type="paragraph" w:customStyle="1" w:styleId="14">
    <w:name w:val="1"/>
    <w:basedOn w:val="a"/>
    <w:next w:val="a"/>
    <w:qFormat/>
    <w:pPr>
      <w:ind w:leftChars="1600" w:left="3360"/>
    </w:pPr>
  </w:style>
  <w:style w:type="character" w:customStyle="1" w:styleId="fontstyle01">
    <w:name w:val="fontstyle01"/>
    <w:basedOn w:val="a1"/>
    <w:qFormat/>
    <w:rPr>
      <w:rFonts w:ascii="宋体" w:eastAsia="宋体" w:hAnsi="宋体" w:hint="eastAsia"/>
      <w:color w:val="000000"/>
      <w:sz w:val="24"/>
      <w:szCs w:val="24"/>
    </w:rPr>
  </w:style>
  <w:style w:type="character" w:customStyle="1" w:styleId="fontstyle11">
    <w:name w:val="fontstyle11"/>
    <w:basedOn w:val="a1"/>
    <w:qFormat/>
    <w:rPr>
      <w:rFonts w:ascii="TimesNewRomanPSMT" w:hAnsi="TimesNewRomanPSMT" w:hint="default"/>
      <w:color w:val="000000"/>
      <w:sz w:val="24"/>
      <w:szCs w:val="24"/>
    </w:rPr>
  </w:style>
  <w:style w:type="paragraph" w:styleId="af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customXml" Target="../customXml/item39.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customXml" Target="../customXml/item42.xml"/><Relationship Id="rId47" Type="http://schemas.openxmlformats.org/officeDocument/2006/relationships/settings" Target="settings.xml"/><Relationship Id="rId50" Type="http://schemas.openxmlformats.org/officeDocument/2006/relationships/endnotes" Target="endnotes.xml"/><Relationship Id="rId55" Type="http://schemas.openxmlformats.org/officeDocument/2006/relationships/footer" Target="footer3.xml"/><Relationship Id="rId63" Type="http://schemas.openxmlformats.org/officeDocument/2006/relationships/footer" Target="footer11.xml"/><Relationship Id="rId68" Type="http://schemas.openxmlformats.org/officeDocument/2006/relationships/footer" Target="footer16.xml"/><Relationship Id="rId76" Type="http://schemas.openxmlformats.org/officeDocument/2006/relationships/fontTable" Target="fontTable.xml"/><Relationship Id="rId7" Type="http://schemas.openxmlformats.org/officeDocument/2006/relationships/customXml" Target="../customXml/item7.xml"/><Relationship Id="rId71" Type="http://schemas.openxmlformats.org/officeDocument/2006/relationships/footer" Target="footer19.xm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numbering" Target="numbering.xml"/><Relationship Id="rId53" Type="http://schemas.openxmlformats.org/officeDocument/2006/relationships/footer" Target="footer1.xml"/><Relationship Id="rId58" Type="http://schemas.openxmlformats.org/officeDocument/2006/relationships/footer" Target="footer6.xml"/><Relationship Id="rId66" Type="http://schemas.openxmlformats.org/officeDocument/2006/relationships/footer" Target="footer14.xml"/><Relationship Id="rId74" Type="http://schemas.openxmlformats.org/officeDocument/2006/relationships/footer" Target="footer22.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footnotes" Target="footnotes.xml"/><Relationship Id="rId57" Type="http://schemas.openxmlformats.org/officeDocument/2006/relationships/footer" Target="footer5.xml"/><Relationship Id="rId61" Type="http://schemas.openxmlformats.org/officeDocument/2006/relationships/footer" Target="footer9.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header" Target="header2.xml"/><Relationship Id="rId60" Type="http://schemas.openxmlformats.org/officeDocument/2006/relationships/footer" Target="footer8.xml"/><Relationship Id="rId65" Type="http://schemas.openxmlformats.org/officeDocument/2006/relationships/footer" Target="footer13.xml"/><Relationship Id="rId73"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customXml" Target="../customXml/item43.xml"/><Relationship Id="rId48" Type="http://schemas.openxmlformats.org/officeDocument/2006/relationships/webSettings" Target="webSettings.xml"/><Relationship Id="rId56" Type="http://schemas.openxmlformats.org/officeDocument/2006/relationships/footer" Target="footer4.xml"/><Relationship Id="rId64" Type="http://schemas.openxmlformats.org/officeDocument/2006/relationships/footer" Target="footer12.xml"/><Relationship Id="rId69" Type="http://schemas.openxmlformats.org/officeDocument/2006/relationships/footer" Target="footer17.xml"/><Relationship Id="rId77"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header" Target="header1.xml"/><Relationship Id="rId72" Type="http://schemas.openxmlformats.org/officeDocument/2006/relationships/footer" Target="footer20.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styles" Target="styles.xml"/><Relationship Id="rId59" Type="http://schemas.openxmlformats.org/officeDocument/2006/relationships/footer" Target="footer7.xml"/><Relationship Id="rId67" Type="http://schemas.openxmlformats.org/officeDocument/2006/relationships/footer" Target="footer15.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footer" Target="footer2.xml"/><Relationship Id="rId62" Type="http://schemas.openxmlformats.org/officeDocument/2006/relationships/footer" Target="footer10.xml"/><Relationship Id="rId70" Type="http://schemas.openxmlformats.org/officeDocument/2006/relationships/footer" Target="footer18.xml"/><Relationship Id="rId75"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customXml" Target="../customXml/item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52E1E-2534-428B-B5E3-F305B5EA7646}">
  <ds:schemaRefs>
    <ds:schemaRef ds:uri="http://schemas.openxmlformats.org/officeDocument/2006/bibliography"/>
  </ds:schemaRefs>
</ds:datastoreItem>
</file>

<file path=customXml/itemProps2.xml><?xml version="1.0" encoding="utf-8"?>
<ds:datastoreItem xmlns:ds="http://schemas.openxmlformats.org/officeDocument/2006/customXml" ds:itemID="{9A41A01D-835E-4774-AEA9-6BC6ABC732AC}">
  <ds:schemaRefs>
    <ds:schemaRef ds:uri="http://schemas.openxmlformats.org/officeDocument/2006/bibliography"/>
  </ds:schemaRefs>
</ds:datastoreItem>
</file>

<file path=customXml/itemProps3.xml><?xml version="1.0" encoding="utf-8"?>
<ds:datastoreItem xmlns:ds="http://schemas.openxmlformats.org/officeDocument/2006/customXml" ds:itemID="{4FC32D1C-3CB8-4E67-BBA9-64DB821B6B14}">
  <ds:schemaRefs>
    <ds:schemaRef ds:uri="http://schemas.openxmlformats.org/officeDocument/2006/bibliography"/>
  </ds:schemaRefs>
</ds:datastoreItem>
</file>

<file path=customXml/itemProps4.xml><?xml version="1.0" encoding="utf-8"?>
<ds:datastoreItem xmlns:ds="http://schemas.openxmlformats.org/officeDocument/2006/customXml" ds:itemID="{9415527F-E134-4CA9-B815-E5061C9134C6}">
  <ds:schemaRefs>
    <ds:schemaRef ds:uri="http://schemas.openxmlformats.org/officeDocument/2006/bibliography"/>
  </ds:schemaRefs>
</ds:datastoreItem>
</file>

<file path=customXml/itemProps5.xml><?xml version="1.0" encoding="utf-8"?>
<ds:datastoreItem xmlns:ds="http://schemas.openxmlformats.org/officeDocument/2006/customXml" ds:itemID="{C0EA37BC-C6DD-4C91-A90F-3A65DE6B3034}">
  <ds:schemaRefs>
    <ds:schemaRef ds:uri="http://schemas.openxmlformats.org/officeDocument/2006/bibliography"/>
  </ds:schemaRefs>
</ds:datastoreItem>
</file>

<file path=customXml/itemProps6.xml><?xml version="1.0" encoding="utf-8"?>
<ds:datastoreItem xmlns:ds="http://schemas.openxmlformats.org/officeDocument/2006/customXml" ds:itemID="{810C5CD9-150D-481B-93E1-275A36DA29DB}">
  <ds:schemaRefs>
    <ds:schemaRef ds:uri="http://schemas.openxmlformats.org/officeDocument/2006/bibliography"/>
  </ds:schemaRefs>
</ds:datastoreItem>
</file>

<file path=customXml/itemProps7.xml><?xml version="1.0" encoding="utf-8"?>
<ds:datastoreItem xmlns:ds="http://schemas.openxmlformats.org/officeDocument/2006/customXml" ds:itemID="{16C81E6F-44EB-44DA-9F8B-54263C62061C}">
  <ds:schemaRefs>
    <ds:schemaRef ds:uri="http://schemas.openxmlformats.org/officeDocument/2006/bibliography"/>
  </ds:schemaRefs>
</ds:datastoreItem>
</file>

<file path=customXml/itemProps8.xml><?xml version="1.0" encoding="utf-8"?>
<ds:datastoreItem xmlns:ds="http://schemas.openxmlformats.org/officeDocument/2006/customXml" ds:itemID="{8ECF47B4-3B55-4A5D-AC9F-F90B427C8DFF}">
  <ds:schemaRefs>
    <ds:schemaRef ds:uri="http://schemas.openxmlformats.org/officeDocument/2006/bibliography"/>
  </ds:schemaRefs>
</ds:datastoreItem>
</file>

<file path=customXml/itemProps9.xml><?xml version="1.0" encoding="utf-8"?>
<ds:datastoreItem xmlns:ds="http://schemas.openxmlformats.org/officeDocument/2006/customXml" ds:itemID="{94353EAF-158A-4617-A757-3D2512C54AB4}">
  <ds:schemaRefs>
    <ds:schemaRef ds:uri="http://schemas.openxmlformats.org/officeDocument/2006/bibliography"/>
  </ds:schemaRefs>
</ds:datastoreItem>
</file>

<file path=customXml/itemProps10.xml><?xml version="1.0" encoding="utf-8"?>
<ds:datastoreItem xmlns:ds="http://schemas.openxmlformats.org/officeDocument/2006/customXml" ds:itemID="{E8676DE2-BC7F-4025-B511-C56690AFA116}">
  <ds:schemaRefs>
    <ds:schemaRef ds:uri="http://schemas.openxmlformats.org/officeDocument/2006/bibliography"/>
  </ds:schemaRefs>
</ds:datastoreItem>
</file>

<file path=customXml/itemProps11.xml><?xml version="1.0" encoding="utf-8"?>
<ds:datastoreItem xmlns:ds="http://schemas.openxmlformats.org/officeDocument/2006/customXml" ds:itemID="{B058FBDE-9DED-4B09-B3C8-AA9EC2E751AF}">
  <ds:schemaRefs>
    <ds:schemaRef ds:uri="http://schemas.openxmlformats.org/officeDocument/2006/bibliography"/>
  </ds:schemaRefs>
</ds:datastoreItem>
</file>

<file path=customXml/itemProps12.xml><?xml version="1.0" encoding="utf-8"?>
<ds:datastoreItem xmlns:ds="http://schemas.openxmlformats.org/officeDocument/2006/customXml" ds:itemID="{349ABAB4-5EA3-4398-822A-B6AE70DC805E}">
  <ds:schemaRefs>
    <ds:schemaRef ds:uri="http://schemas.openxmlformats.org/officeDocument/2006/bibliography"/>
  </ds:schemaRefs>
</ds:datastoreItem>
</file>

<file path=customXml/itemProps13.xml><?xml version="1.0" encoding="utf-8"?>
<ds:datastoreItem xmlns:ds="http://schemas.openxmlformats.org/officeDocument/2006/customXml" ds:itemID="{915D60EE-7803-4079-9F5C-AE55DA643B8D}">
  <ds:schemaRefs>
    <ds:schemaRef ds:uri="http://schemas.openxmlformats.org/officeDocument/2006/bibliography"/>
  </ds:schemaRefs>
</ds:datastoreItem>
</file>

<file path=customXml/itemProps14.xml><?xml version="1.0" encoding="utf-8"?>
<ds:datastoreItem xmlns:ds="http://schemas.openxmlformats.org/officeDocument/2006/customXml" ds:itemID="{83050169-37C7-4B67-8D04-DE5DDE858C34}">
  <ds:schemaRefs>
    <ds:schemaRef ds:uri="http://schemas.openxmlformats.org/officeDocument/2006/bibliography"/>
  </ds:schemaRefs>
</ds:datastoreItem>
</file>

<file path=customXml/itemProps15.xml><?xml version="1.0" encoding="utf-8"?>
<ds:datastoreItem xmlns:ds="http://schemas.openxmlformats.org/officeDocument/2006/customXml" ds:itemID="{BEF3990D-DB13-4D5A-AF15-D839C4DF2C00}">
  <ds:schemaRefs>
    <ds:schemaRef ds:uri="http://schemas.openxmlformats.org/officeDocument/2006/bibliography"/>
  </ds:schemaRefs>
</ds:datastoreItem>
</file>

<file path=customXml/itemProps16.xml><?xml version="1.0" encoding="utf-8"?>
<ds:datastoreItem xmlns:ds="http://schemas.openxmlformats.org/officeDocument/2006/customXml" ds:itemID="{284CBB57-0C51-46A6-B47C-C3562CFBBF63}">
  <ds:schemaRefs>
    <ds:schemaRef ds:uri="http://schemas.openxmlformats.org/officeDocument/2006/bibliography"/>
  </ds:schemaRefs>
</ds:datastoreItem>
</file>

<file path=customXml/itemProps17.xml><?xml version="1.0" encoding="utf-8"?>
<ds:datastoreItem xmlns:ds="http://schemas.openxmlformats.org/officeDocument/2006/customXml" ds:itemID="{4667FE04-7C9B-457C-8C0B-9B59CC04314B}">
  <ds:schemaRefs>
    <ds:schemaRef ds:uri="http://schemas.openxmlformats.org/officeDocument/2006/bibliography"/>
  </ds:schemaRefs>
</ds:datastoreItem>
</file>

<file path=customXml/itemProps18.xml><?xml version="1.0" encoding="utf-8"?>
<ds:datastoreItem xmlns:ds="http://schemas.openxmlformats.org/officeDocument/2006/customXml" ds:itemID="{B7F7E205-63C2-417A-8DAF-4F053CFC5EC8}">
  <ds:schemaRefs>
    <ds:schemaRef ds:uri="http://schemas.openxmlformats.org/officeDocument/2006/bibliography"/>
  </ds:schemaRefs>
</ds:datastoreItem>
</file>

<file path=customXml/itemProps19.xml><?xml version="1.0" encoding="utf-8"?>
<ds:datastoreItem xmlns:ds="http://schemas.openxmlformats.org/officeDocument/2006/customXml" ds:itemID="{240497C6-568C-4C8D-B11F-7ADB1E35C66C}">
  <ds:schemaRefs>
    <ds:schemaRef ds:uri="http://schemas.openxmlformats.org/officeDocument/2006/bibliography"/>
  </ds:schemaRefs>
</ds:datastoreItem>
</file>

<file path=customXml/itemProps20.xml><?xml version="1.0" encoding="utf-8"?>
<ds:datastoreItem xmlns:ds="http://schemas.openxmlformats.org/officeDocument/2006/customXml" ds:itemID="{11C62968-88B3-4C81-B7F4-10702763FCB0}">
  <ds:schemaRefs>
    <ds:schemaRef ds:uri="http://schemas.openxmlformats.org/officeDocument/2006/bibliography"/>
  </ds:schemaRefs>
</ds:datastoreItem>
</file>

<file path=customXml/itemProps21.xml><?xml version="1.0" encoding="utf-8"?>
<ds:datastoreItem xmlns:ds="http://schemas.openxmlformats.org/officeDocument/2006/customXml" ds:itemID="{6F14E9D9-C563-40E8-86B7-023B05BE266D}">
  <ds:schemaRefs>
    <ds:schemaRef ds:uri="http://schemas.openxmlformats.org/officeDocument/2006/bibliography"/>
  </ds:schemaRefs>
</ds:datastoreItem>
</file>

<file path=customXml/itemProps22.xml><?xml version="1.0" encoding="utf-8"?>
<ds:datastoreItem xmlns:ds="http://schemas.openxmlformats.org/officeDocument/2006/customXml" ds:itemID="{23FC6222-EA7E-4216-A656-EDC350261E31}">
  <ds:schemaRefs>
    <ds:schemaRef ds:uri="http://schemas.openxmlformats.org/officeDocument/2006/bibliography"/>
  </ds:schemaRefs>
</ds:datastoreItem>
</file>

<file path=customXml/itemProps23.xml><?xml version="1.0" encoding="utf-8"?>
<ds:datastoreItem xmlns:ds="http://schemas.openxmlformats.org/officeDocument/2006/customXml" ds:itemID="{2C6FC49C-FE89-41CC-AF29-19D308E4044C}">
  <ds:schemaRefs>
    <ds:schemaRef ds:uri="http://schemas.openxmlformats.org/officeDocument/2006/bibliography"/>
  </ds:schemaRefs>
</ds:datastoreItem>
</file>

<file path=customXml/itemProps24.xml><?xml version="1.0" encoding="utf-8"?>
<ds:datastoreItem xmlns:ds="http://schemas.openxmlformats.org/officeDocument/2006/customXml" ds:itemID="{F2A469A4-260F-4A26-9261-482F1E37EA6B}">
  <ds:schemaRefs>
    <ds:schemaRef ds:uri="http://schemas.openxmlformats.org/officeDocument/2006/bibliography"/>
  </ds:schemaRefs>
</ds:datastoreItem>
</file>

<file path=customXml/itemProps25.xml><?xml version="1.0" encoding="utf-8"?>
<ds:datastoreItem xmlns:ds="http://schemas.openxmlformats.org/officeDocument/2006/customXml" ds:itemID="{B2481297-6D80-4412-BBA0-F786867C3385}">
  <ds:schemaRefs>
    <ds:schemaRef ds:uri="http://schemas.openxmlformats.org/officeDocument/2006/bibliography"/>
  </ds:schemaRefs>
</ds:datastoreItem>
</file>

<file path=customXml/itemProps26.xml><?xml version="1.0" encoding="utf-8"?>
<ds:datastoreItem xmlns:ds="http://schemas.openxmlformats.org/officeDocument/2006/customXml" ds:itemID="{1930F0B9-7A3E-4AF4-86EE-11A91C347F27}">
  <ds:schemaRefs>
    <ds:schemaRef ds:uri="http://schemas.openxmlformats.org/officeDocument/2006/bibliography"/>
  </ds:schemaRefs>
</ds:datastoreItem>
</file>

<file path=customXml/itemProps27.xml><?xml version="1.0" encoding="utf-8"?>
<ds:datastoreItem xmlns:ds="http://schemas.openxmlformats.org/officeDocument/2006/customXml" ds:itemID="{F09AD3DC-EC3A-41C1-B374-9B58A7F6C105}">
  <ds:schemaRefs>
    <ds:schemaRef ds:uri="http://schemas.openxmlformats.org/officeDocument/2006/bibliography"/>
  </ds:schemaRefs>
</ds:datastoreItem>
</file>

<file path=customXml/itemProps28.xml><?xml version="1.0" encoding="utf-8"?>
<ds:datastoreItem xmlns:ds="http://schemas.openxmlformats.org/officeDocument/2006/customXml" ds:itemID="{57E304C0-CF57-48D0-990C-4D647B7902A1}">
  <ds:schemaRefs>
    <ds:schemaRef ds:uri="http://schemas.openxmlformats.org/officeDocument/2006/bibliography"/>
  </ds:schemaRefs>
</ds:datastoreItem>
</file>

<file path=customXml/itemProps29.xml><?xml version="1.0" encoding="utf-8"?>
<ds:datastoreItem xmlns:ds="http://schemas.openxmlformats.org/officeDocument/2006/customXml" ds:itemID="{DD39B268-FC0F-4525-A8C1-3210428A46AC}">
  <ds:schemaRefs>
    <ds:schemaRef ds:uri="http://schemas.openxmlformats.org/officeDocument/2006/bibliography"/>
  </ds:schemaRefs>
</ds:datastoreItem>
</file>

<file path=customXml/itemProps30.xml><?xml version="1.0" encoding="utf-8"?>
<ds:datastoreItem xmlns:ds="http://schemas.openxmlformats.org/officeDocument/2006/customXml" ds:itemID="{DE70260E-41DA-4784-876D-92626AEEECFA}">
  <ds:schemaRefs>
    <ds:schemaRef ds:uri="http://schemas.openxmlformats.org/officeDocument/2006/bibliography"/>
  </ds:schemaRefs>
</ds:datastoreItem>
</file>

<file path=customXml/itemProps31.xml><?xml version="1.0" encoding="utf-8"?>
<ds:datastoreItem xmlns:ds="http://schemas.openxmlformats.org/officeDocument/2006/customXml" ds:itemID="{02E4F416-EF34-4A5A-9F42-A7E990FF8A05}">
  <ds:schemaRefs>
    <ds:schemaRef ds:uri="http://schemas.openxmlformats.org/officeDocument/2006/bibliography"/>
  </ds:schemaRefs>
</ds:datastoreItem>
</file>

<file path=customXml/itemProps32.xml><?xml version="1.0" encoding="utf-8"?>
<ds:datastoreItem xmlns:ds="http://schemas.openxmlformats.org/officeDocument/2006/customXml" ds:itemID="{3AD090EE-4465-4866-88A3-CF1B7B2FF411}">
  <ds:schemaRefs>
    <ds:schemaRef ds:uri="http://schemas.openxmlformats.org/officeDocument/2006/bibliography"/>
  </ds:schemaRefs>
</ds:datastoreItem>
</file>

<file path=customXml/itemProps33.xml><?xml version="1.0" encoding="utf-8"?>
<ds:datastoreItem xmlns:ds="http://schemas.openxmlformats.org/officeDocument/2006/customXml" ds:itemID="{A7479EF8-2EA8-4921-A553-ED054D143EF5}">
  <ds:schemaRefs>
    <ds:schemaRef ds:uri="http://schemas.openxmlformats.org/officeDocument/2006/bibliography"/>
  </ds:schemaRefs>
</ds:datastoreItem>
</file>

<file path=customXml/itemProps34.xml><?xml version="1.0" encoding="utf-8"?>
<ds:datastoreItem xmlns:ds="http://schemas.openxmlformats.org/officeDocument/2006/customXml" ds:itemID="{320F816E-421F-4902-9DDF-D85A4D1483BF}">
  <ds:schemaRefs>
    <ds:schemaRef ds:uri="http://schemas.openxmlformats.org/officeDocument/2006/bibliography"/>
  </ds:schemaRefs>
</ds:datastoreItem>
</file>

<file path=customXml/itemProps35.xml><?xml version="1.0" encoding="utf-8"?>
<ds:datastoreItem xmlns:ds="http://schemas.openxmlformats.org/officeDocument/2006/customXml" ds:itemID="{9BB9BFFA-718A-4420-9A55-4D355B8B76C5}">
  <ds:schemaRefs>
    <ds:schemaRef ds:uri="http://schemas.openxmlformats.org/officeDocument/2006/bibliography"/>
  </ds:schemaRefs>
</ds:datastoreItem>
</file>

<file path=customXml/itemProps36.xml><?xml version="1.0" encoding="utf-8"?>
<ds:datastoreItem xmlns:ds="http://schemas.openxmlformats.org/officeDocument/2006/customXml" ds:itemID="{E2B7AAB0-CBF9-4339-ADE5-0DDECC00AF65}">
  <ds:schemaRefs>
    <ds:schemaRef ds:uri="http://schemas.openxmlformats.org/officeDocument/2006/bibliography"/>
  </ds:schemaRefs>
</ds:datastoreItem>
</file>

<file path=customXml/itemProps37.xml><?xml version="1.0" encoding="utf-8"?>
<ds:datastoreItem xmlns:ds="http://schemas.openxmlformats.org/officeDocument/2006/customXml" ds:itemID="{1E86E35A-1322-4480-B9E8-97DFA98A119C}">
  <ds:schemaRefs>
    <ds:schemaRef ds:uri="http://schemas.openxmlformats.org/officeDocument/2006/bibliography"/>
  </ds:schemaRefs>
</ds:datastoreItem>
</file>

<file path=customXml/itemProps38.xml><?xml version="1.0" encoding="utf-8"?>
<ds:datastoreItem xmlns:ds="http://schemas.openxmlformats.org/officeDocument/2006/customXml" ds:itemID="{83A64C06-A62E-4199-990C-1CDB7E268CA2}">
  <ds:schemaRefs>
    <ds:schemaRef ds:uri="http://schemas.openxmlformats.org/officeDocument/2006/bibliography"/>
  </ds:schemaRefs>
</ds:datastoreItem>
</file>

<file path=customXml/itemProps39.xml><?xml version="1.0" encoding="utf-8"?>
<ds:datastoreItem xmlns:ds="http://schemas.openxmlformats.org/officeDocument/2006/customXml" ds:itemID="{233204FB-B68F-4854-BFD3-C0904FBEC92A}">
  <ds:schemaRefs>
    <ds:schemaRef ds:uri="http://schemas.openxmlformats.org/officeDocument/2006/bibliography"/>
  </ds:schemaRefs>
</ds:datastoreItem>
</file>

<file path=customXml/itemProps40.xml><?xml version="1.0" encoding="utf-8"?>
<ds:datastoreItem xmlns:ds="http://schemas.openxmlformats.org/officeDocument/2006/customXml" ds:itemID="{71D4D781-3AE4-4102-8E2A-5F94B267D8A2}">
  <ds:schemaRefs>
    <ds:schemaRef ds:uri="http://schemas.openxmlformats.org/officeDocument/2006/bibliography"/>
  </ds:schemaRefs>
</ds:datastoreItem>
</file>

<file path=customXml/itemProps41.xml><?xml version="1.0" encoding="utf-8"?>
<ds:datastoreItem xmlns:ds="http://schemas.openxmlformats.org/officeDocument/2006/customXml" ds:itemID="{975C89F1-2069-45DB-B360-CF53D40B1E34}">
  <ds:schemaRefs>
    <ds:schemaRef ds:uri="http://schemas.openxmlformats.org/officeDocument/2006/bibliography"/>
  </ds:schemaRefs>
</ds:datastoreItem>
</file>

<file path=customXml/itemProps42.xml><?xml version="1.0" encoding="utf-8"?>
<ds:datastoreItem xmlns:ds="http://schemas.openxmlformats.org/officeDocument/2006/customXml" ds:itemID="{5D3A1C80-FF0E-4409-B61B-2D0ECA21CBDF}">
  <ds:schemaRefs>
    <ds:schemaRef ds:uri="http://schemas.openxmlformats.org/officeDocument/2006/bibliography"/>
  </ds:schemaRefs>
</ds:datastoreItem>
</file>

<file path=customXml/itemProps43.xml><?xml version="1.0" encoding="utf-8"?>
<ds:datastoreItem xmlns:ds="http://schemas.openxmlformats.org/officeDocument/2006/customXml" ds:itemID="{949EA064-CD2D-4745-9A9A-827DDA13D36E}">
  <ds:schemaRefs>
    <ds:schemaRef ds:uri="http://schemas.openxmlformats.org/officeDocument/2006/bibliography"/>
  </ds:schemaRefs>
</ds:datastoreItem>
</file>

<file path=customXml/itemProps44.xml><?xml version="1.0" encoding="utf-8"?>
<ds:datastoreItem xmlns:ds="http://schemas.openxmlformats.org/officeDocument/2006/customXml" ds:itemID="{4A6E76E3-F99B-49D0-9762-26EA34234E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48</Pages>
  <Words>4283</Words>
  <Characters>24417</Characters>
  <Application>Microsoft Office Word</Application>
  <DocSecurity>0</DocSecurity>
  <Lines>203</Lines>
  <Paragraphs>57</Paragraphs>
  <ScaleCrop>false</ScaleCrop>
  <Company/>
  <LinksUpToDate>false</LinksUpToDate>
  <CharactersWithSpaces>28643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托管协议</dc:title>
  <dc:creator>资产托管部</dc:creator>
  <cp:lastModifiedBy>戴聪子</cp:lastModifiedBy>
  <cp:revision>20</cp:revision>
  <cp:lastPrinted>2020-11-02T06:35:00Z</cp:lastPrinted>
  <dcterms:created xsi:type="dcterms:W3CDTF">2022-11-25T01:57:00Z</dcterms:created>
  <dcterms:modified xsi:type="dcterms:W3CDTF">2023-07-26T07:26:00Z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ractId">
    <vt:lpwstr>41d33a0e67cd4c7ebb466472a8684a6a</vt:lpwstr>
  </property>
  <property fmtid="{D5CDD505-2E9C-101B-9397-08002B2CF9AE}" pid="3" name="verificationId">
    <vt:lpwstr>861dd15c5ac3dfaa</vt:lpwstr>
  </property>
  <property fmtid="{D5CDD505-2E9C-101B-9397-08002B2CF9AE}" pid="4" name="KSOProductBuildVer">
    <vt:lpwstr>2052-11.1.0.13703</vt:lpwstr>
  </property>
  <property fmtid="{D5CDD505-2E9C-101B-9397-08002B2CF9AE}" pid="5" name="ICV">
    <vt:lpwstr>0C36B213C769479A84329142552FD294</vt:lpwstr>
  </property>
</Properties>
</file>